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80D1C3">
      <w:pPr>
        <w:spacing w:line="360" w:lineRule="auto"/>
        <w:jc w:val="center"/>
        <w:rPr>
          <w:rFonts w:ascii="宋体"/>
          <w:b/>
          <w:bCs/>
          <w:sz w:val="44"/>
          <w:szCs w:val="44"/>
        </w:rPr>
      </w:pPr>
    </w:p>
    <w:p w14:paraId="02FA4BA1">
      <w:pPr>
        <w:spacing w:line="360" w:lineRule="auto"/>
        <w:jc w:val="center"/>
        <w:rPr>
          <w:rFonts w:ascii="宋体"/>
          <w:b/>
          <w:bCs/>
          <w:sz w:val="44"/>
          <w:szCs w:val="44"/>
        </w:rPr>
      </w:pPr>
    </w:p>
    <w:p w14:paraId="44DEB494">
      <w:pPr>
        <w:spacing w:line="360" w:lineRule="auto"/>
        <w:jc w:val="center"/>
        <w:rPr>
          <w:rFonts w:ascii="宋体"/>
          <w:b/>
          <w:bCs/>
          <w:sz w:val="44"/>
          <w:szCs w:val="44"/>
        </w:rPr>
      </w:pPr>
    </w:p>
    <w:p w14:paraId="7D89F66F">
      <w:pPr>
        <w:spacing w:line="360" w:lineRule="auto"/>
        <w:jc w:val="center"/>
        <w:rPr>
          <w:rFonts w:ascii="宋体"/>
          <w:b/>
          <w:bCs/>
          <w:sz w:val="44"/>
          <w:szCs w:val="44"/>
        </w:rPr>
      </w:pPr>
    </w:p>
    <w:p w14:paraId="73F48ADC">
      <w:pPr>
        <w:spacing w:line="360" w:lineRule="auto"/>
        <w:jc w:val="center"/>
        <w:rPr>
          <w:rFonts w:ascii="宋体"/>
          <w:b/>
          <w:bCs/>
          <w:color w:val="000000"/>
          <w:sz w:val="36"/>
          <w:szCs w:val="36"/>
          <w:u w:val="single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u w:val="single"/>
        </w:rPr>
        <w:t>重庆应用技术职业学院</w:t>
      </w:r>
    </w:p>
    <w:p w14:paraId="4BB61105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信息安全实训室建设</w:t>
      </w:r>
      <w:r>
        <w:rPr>
          <w:rFonts w:hint="eastAsia"/>
          <w:b/>
          <w:sz w:val="36"/>
          <w:szCs w:val="36"/>
        </w:rPr>
        <w:t>项目</w:t>
      </w:r>
    </w:p>
    <w:p w14:paraId="14A838CC">
      <w:pPr>
        <w:spacing w:line="360" w:lineRule="auto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竞争性谈判文件</w:t>
      </w:r>
    </w:p>
    <w:p w14:paraId="33AB8900">
      <w:pPr>
        <w:spacing w:line="360" w:lineRule="auto"/>
        <w:jc w:val="center"/>
        <w:rPr>
          <w:rFonts w:ascii="华文仿宋" w:hAnsi="华文仿宋" w:eastAsia="华文仿宋"/>
          <w:b/>
          <w:color w:val="FF0000"/>
          <w:sz w:val="32"/>
          <w:szCs w:val="32"/>
        </w:rPr>
      </w:pPr>
    </w:p>
    <w:p w14:paraId="51C00BFB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12EA57DC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6B99A8F1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1FE28FB2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32AEBD0E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4A548A19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34489DA7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4714E94F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72150066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760B0374">
      <w:pPr>
        <w:spacing w:line="360" w:lineRule="auto"/>
        <w:rPr>
          <w:rFonts w:ascii="宋体"/>
          <w:b/>
          <w:spacing w:val="20"/>
          <w:sz w:val="32"/>
          <w:szCs w:val="32"/>
        </w:rPr>
      </w:pPr>
    </w:p>
    <w:p w14:paraId="56E45563">
      <w:pPr>
        <w:spacing w:line="360" w:lineRule="auto"/>
        <w:ind w:left="481" w:leftChars="229" w:firstLine="72" w:firstLineChars="20"/>
        <w:jc w:val="center"/>
        <w:rPr>
          <w:rFonts w:ascii="宋体"/>
          <w:b/>
          <w:spacing w:val="20"/>
          <w:sz w:val="32"/>
          <w:szCs w:val="32"/>
        </w:rPr>
      </w:pPr>
    </w:p>
    <w:p w14:paraId="01BF066A">
      <w:pPr>
        <w:spacing w:line="360" w:lineRule="auto"/>
        <w:ind w:left="481" w:leftChars="229" w:firstLine="72" w:firstLineChars="20"/>
        <w:jc w:val="center"/>
        <w:rPr>
          <w:rFonts w:ascii="宋体"/>
          <w:b/>
          <w:color w:val="000000"/>
          <w:spacing w:val="20"/>
          <w:sz w:val="32"/>
          <w:szCs w:val="32"/>
        </w:rPr>
      </w:pPr>
      <w:r>
        <w:rPr>
          <w:rFonts w:hint="eastAsia" w:ascii="宋体" w:hAnsi="宋体"/>
          <w:b/>
          <w:color w:val="000000"/>
          <w:spacing w:val="20"/>
          <w:sz w:val="32"/>
          <w:szCs w:val="32"/>
          <w:u w:val="single"/>
        </w:rPr>
        <w:t>重庆应用技术职业学院</w:t>
      </w:r>
      <w:r>
        <w:rPr>
          <w:rFonts w:hint="eastAsia" w:ascii="宋体" w:hAnsi="宋体"/>
          <w:b/>
          <w:color w:val="000000"/>
          <w:spacing w:val="20"/>
          <w:sz w:val="32"/>
          <w:szCs w:val="32"/>
        </w:rPr>
        <w:t>制</w:t>
      </w:r>
    </w:p>
    <w:p w14:paraId="6E4E8E40">
      <w:pPr>
        <w:spacing w:line="360" w:lineRule="auto"/>
        <w:jc w:val="center"/>
        <w:rPr>
          <w:sz w:val="28"/>
          <w:szCs w:val="28"/>
        </w:rPr>
      </w:pPr>
      <w:r>
        <w:rPr>
          <w:rFonts w:ascii="宋体" w:hAnsi="宋体"/>
          <w:b/>
          <w:sz w:val="32"/>
          <w:szCs w:val="32"/>
        </w:rPr>
        <w:t xml:space="preserve"> </w:t>
      </w:r>
      <w:r>
        <w:rPr>
          <w:sz w:val="28"/>
          <w:szCs w:val="28"/>
        </w:rPr>
        <w:t xml:space="preserve">   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29</w:t>
      </w:r>
      <w:r>
        <w:rPr>
          <w:rFonts w:hint="eastAsia"/>
          <w:sz w:val="28"/>
          <w:szCs w:val="28"/>
        </w:rPr>
        <w:t>日</w:t>
      </w:r>
    </w:p>
    <w:p w14:paraId="3FB5F22A"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p w14:paraId="3A8B00B7"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p w14:paraId="5A1F3075">
      <w:pPr>
        <w:spacing w:line="360" w:lineRule="auto"/>
        <w:jc w:val="center"/>
        <w:rPr>
          <w:rFonts w:ascii="宋体"/>
          <w:b/>
          <w:sz w:val="28"/>
          <w:szCs w:val="28"/>
        </w:rPr>
      </w:pPr>
    </w:p>
    <w:p w14:paraId="0FC122CE">
      <w:pPr>
        <w:spacing w:line="360" w:lineRule="auto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第一部分</w:t>
      </w:r>
      <w:r>
        <w:rPr>
          <w:rFonts w:ascii="宋体" w:hAnsi="宋体"/>
          <w:b/>
          <w:bCs/>
          <w:sz w:val="32"/>
          <w:szCs w:val="32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</w:rPr>
        <w:t>谈判项目书</w:t>
      </w:r>
    </w:p>
    <w:p w14:paraId="73E3EC8C">
      <w:pPr>
        <w:spacing w:line="360" w:lineRule="auto"/>
        <w:rPr>
          <w:rFonts w:ascii="宋体"/>
          <w:b/>
          <w:bCs/>
          <w:sz w:val="28"/>
          <w:szCs w:val="28"/>
        </w:rPr>
      </w:pPr>
    </w:p>
    <w:p w14:paraId="19E2F514">
      <w:pPr>
        <w:spacing w:line="360" w:lineRule="auto"/>
        <w:ind w:firstLine="562" w:firstLineChars="200"/>
        <w:rPr>
          <w:rFonts w:asci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项目名称及编号：</w:t>
      </w:r>
      <w:r>
        <w:rPr>
          <w:rFonts w:hint="eastAsia" w:ascii="宋体" w:hAnsi="宋体" w:eastAsia="宋体"/>
          <w:b w:val="0"/>
          <w:bCs w:val="0"/>
          <w:color w:val="000000"/>
          <w:sz w:val="32"/>
          <w:szCs w:val="32"/>
        </w:rPr>
        <w:t>2025-X005</w:t>
      </w:r>
    </w:p>
    <w:p w14:paraId="2B8FF5EF">
      <w:pPr>
        <w:ind w:left="565" w:firstLine="281" w:firstLineChars="100"/>
        <w:rPr>
          <w:rFonts w:hint="eastAsia"/>
          <w:b/>
          <w:sz w:val="28"/>
          <w:szCs w:val="28"/>
          <w:lang w:eastAsia="zh-CN"/>
        </w:rPr>
      </w:pPr>
      <w:bookmarkStart w:id="1" w:name="_GoBack"/>
      <w:bookmarkEnd w:id="1"/>
      <w:r>
        <w:rPr>
          <w:rFonts w:hint="eastAsia"/>
          <w:b/>
          <w:sz w:val="28"/>
          <w:szCs w:val="28"/>
          <w:lang w:eastAsia="zh-CN"/>
        </w:rPr>
        <w:t>信息安全实训室建设</w:t>
      </w:r>
    </w:p>
    <w:p w14:paraId="0C1A0DCB">
      <w:pPr>
        <w:ind w:left="565"/>
        <w:rPr>
          <w:rFonts w:ascii="宋体"/>
          <w:color w:val="FF0000"/>
          <w:sz w:val="28"/>
          <w:szCs w:val="28"/>
        </w:rPr>
      </w:pPr>
      <w:r>
        <w:rPr>
          <w:rFonts w:hint="eastAsia" w:ascii="宋体" w:hAnsi="宋体"/>
          <w:b/>
          <w:bCs/>
          <w:color w:val="FF0000"/>
          <w:sz w:val="28"/>
          <w:szCs w:val="28"/>
        </w:rPr>
        <w:t>二、资格要求：</w:t>
      </w:r>
    </w:p>
    <w:p w14:paraId="583EE7A8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 xml:space="preserve">1. 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须具有独立法人资格，具有独立承担民事责任的能力，具备合法有效的营业执照并通过年审。注册资金100万元以上。经营范围包含信息系统集成服务、人工智能应用软件开发、智能控制系统集成、计算机软硬件、教学专用仪器销售、网络技术服务、网络与信息安全软件开发、计算机信息系统安全专用产品销售。</w:t>
      </w:r>
    </w:p>
    <w:p w14:paraId="1AA3E6D7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2.在重庆地区拥有固定的经营场所或售后服务常驻机构。</w:t>
      </w:r>
    </w:p>
    <w:p w14:paraId="68D255A9">
      <w:pPr>
        <w:adjustRightInd w:val="0"/>
        <w:snapToGrid w:val="0"/>
        <w:spacing w:line="360" w:lineRule="auto"/>
        <w:ind w:firstLine="565" w:firstLineChars="202"/>
        <w:rPr>
          <w:rFonts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3.具有良好的商业信誉、健全的财务会计制度和完善的售后服务体系。</w:t>
      </w:r>
    </w:p>
    <w:p w14:paraId="07498FEA">
      <w:pPr>
        <w:adjustRightInd w:val="0"/>
        <w:snapToGrid w:val="0"/>
        <w:spacing w:line="360" w:lineRule="auto"/>
        <w:ind w:firstLine="565" w:firstLineChars="202"/>
        <w:rPr>
          <w:rFonts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4.确保能够提供符合要求的合格产品，有稳定、强有力的技术维护队伍，能够提供及时、良好的售后服务。</w:t>
      </w:r>
    </w:p>
    <w:p w14:paraId="5B1358F8">
      <w:pPr>
        <w:ind w:firstLine="565" w:firstLineChars="202"/>
        <w:rPr>
          <w:rFonts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FF0000"/>
          <w:sz w:val="28"/>
          <w:szCs w:val="28"/>
        </w:rPr>
        <w:t>5. 近三年内无行政处罚及重大违法违规记录。</w:t>
      </w:r>
    </w:p>
    <w:p w14:paraId="62822C68">
      <w:pPr>
        <w:spacing w:line="360" w:lineRule="auto"/>
        <w:ind w:firstLine="565" w:firstLineChars="201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三、产品质量及服务要求：</w:t>
      </w:r>
    </w:p>
    <w:p w14:paraId="6C1768FF">
      <w:pPr>
        <w:ind w:firstLine="565" w:firstLineChars="202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所有产品必须符合国家相关法律法规要求。</w:t>
      </w:r>
    </w:p>
    <w:p w14:paraId="029182A9">
      <w:pPr>
        <w:ind w:firstLine="565" w:firstLineChars="202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保质期内发生的质量问题由供货商免费负责解决。</w:t>
      </w:r>
    </w:p>
    <w:p w14:paraId="3195A9D5">
      <w:pPr>
        <w:ind w:firstLine="565" w:firstLineChars="202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供应商须在竞谈书中单独提供一份切实可行的售后服务承诺书。</w:t>
      </w:r>
    </w:p>
    <w:p w14:paraId="37FAA8CC">
      <w:pPr>
        <w:ind w:firstLine="565" w:firstLineChars="202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竞谈文件要注明工期及质保时间，售后服务响应时间。</w:t>
      </w:r>
    </w:p>
    <w:p w14:paraId="1BB9410B">
      <w:pPr>
        <w:ind w:firstLine="565" w:firstLineChars="202"/>
        <w:rPr>
          <w:rFonts w:ascii="宋体"/>
          <w:b/>
          <w:bCs/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>竞谈文件一式肆份，壹正叁副。</w:t>
      </w:r>
    </w:p>
    <w:p w14:paraId="0BAC764A">
      <w:pPr>
        <w:spacing w:line="360" w:lineRule="auto"/>
        <w:ind w:firstLine="568" w:firstLineChars="202"/>
        <w:rPr>
          <w:rFonts w:hint="eastAsia" w:ascii="宋体" w:hAnsi="宋体"/>
          <w:b/>
          <w:bCs/>
          <w:color w:val="FF0000"/>
          <w:sz w:val="28"/>
          <w:szCs w:val="28"/>
        </w:rPr>
      </w:pPr>
      <w:r>
        <w:rPr>
          <w:rFonts w:hint="eastAsia" w:ascii="宋体" w:hAnsi="宋体"/>
          <w:b/>
          <w:bCs/>
          <w:color w:val="FF0000"/>
          <w:sz w:val="28"/>
          <w:szCs w:val="28"/>
        </w:rPr>
        <w:t>四、设备名称、数量及参数要求：</w:t>
      </w:r>
    </w:p>
    <w:tbl>
      <w:tblPr>
        <w:tblStyle w:val="16"/>
        <w:tblW w:w="105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799"/>
        <w:gridCol w:w="740"/>
        <w:gridCol w:w="760"/>
        <w:gridCol w:w="4615"/>
        <w:gridCol w:w="890"/>
        <w:gridCol w:w="880"/>
        <w:gridCol w:w="1050"/>
      </w:tblGrid>
      <w:tr w14:paraId="247D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4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F79E">
            <w:pPr>
              <w:keepNext w:val="0"/>
              <w:keepLines w:val="0"/>
              <w:widowControl/>
              <w:suppressLineNumbers w:val="0"/>
              <w:tabs>
                <w:tab w:val="left" w:pos="6300"/>
              </w:tabs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C0CD">
            <w:pPr>
              <w:keepNext w:val="0"/>
              <w:keepLines w:val="0"/>
              <w:widowControl/>
              <w:suppressLineNumbers w:val="0"/>
              <w:tabs>
                <w:tab w:val="left" w:pos="6300"/>
              </w:tabs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单价：元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CB4B">
            <w:pPr>
              <w:keepNext w:val="0"/>
              <w:keepLines w:val="0"/>
              <w:widowControl/>
              <w:suppressLineNumbers w:val="0"/>
              <w:tabs>
                <w:tab w:val="left" w:pos="6300"/>
              </w:tabs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金额：元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7DC7">
            <w:pPr>
              <w:keepNext w:val="0"/>
              <w:keepLines w:val="0"/>
              <w:widowControl/>
              <w:suppressLineNumbers w:val="0"/>
              <w:tabs>
                <w:tab w:val="left" w:pos="6300"/>
              </w:tabs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</w:tr>
      <w:tr w14:paraId="60DD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1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39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管理节点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7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A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91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一、功能要求</w:t>
            </w:r>
          </w:p>
          <w:p w14:paraId="0E6D3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为所有用户访问平台的统一接口，负责设备监控和调度使用，提供实验拓扑的虚拟子网路由交换功能，对学生实验流程的监控，及综合评分等功能。</w:t>
            </w:r>
          </w:p>
          <w:p w14:paraId="603CC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1、支持在管理系统中对服务器进行远程重启，关机操作，支持一键关机；</w:t>
            </w:r>
          </w:p>
          <w:p w14:paraId="1B84C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2、支持管理员、参赛队员和观众三种角色的使用与验证，同时支持对并发用户数量的控制；</w:t>
            </w:r>
          </w:p>
          <w:p w14:paraId="0B9C3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3、支持对管理节点及计算节点的资源使用率进行监控；</w:t>
            </w:r>
          </w:p>
          <w:p w14:paraId="2A107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4、支持系统状态监控，包括：系统用户数量、在线用户数量、竞赛数量、练习数量、虚拟机母本数量、正在运行的虚机数量等内容；</w:t>
            </w:r>
          </w:p>
          <w:p w14:paraId="5A15D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5、内置DHCP服务，可以设置多个地址池，能够为竞赛中的资源分配IP地址，包括：网段、掩码位、适用模块等；</w:t>
            </w:r>
          </w:p>
          <w:p w14:paraId="4F6F2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二、硬件要求</w:t>
            </w:r>
          </w:p>
          <w:p w14:paraId="1096D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标准2U机架式硬件，配置安装导轨；</w:t>
            </w:r>
          </w:p>
          <w:p w14:paraId="1F1BE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主机：2U服务器产品，采用INTEL C621芯片组，支持两颗Intel® Xeon® Processor Scalable可扩展家族CPU；</w:t>
            </w:r>
          </w:p>
          <w:p w14:paraId="2ADE1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CPU：≥1*Intel Xeon Silver 4310 12C 2.10GHz 18MB 120W；</w:t>
            </w:r>
          </w:p>
          <w:p w14:paraId="671FA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内存：≥64GBD DR4-3200 ECC REG RDIMM；</w:t>
            </w:r>
          </w:p>
          <w:p w14:paraId="55B31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硬盘：≥2.5" 1.92T GEN4 读取密集 U.2；</w:t>
            </w:r>
          </w:p>
          <w:p w14:paraId="55CD1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接口：≥4个千兆网口，为减少网络延迟，集成的双口千兆网卡必须支持I/O AT、负载均衡、链路汇聚、绑定冗余等特性；</w:t>
            </w:r>
          </w:p>
          <w:p w14:paraId="586FA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 扩展槽：支持≥6个PCIE 4.0 ；</w:t>
            </w:r>
          </w:p>
          <w:p w14:paraId="1535C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远程管理：标配远程管理控制端口，可实现与操作系统无关的远程对服务器的完全控制，虚拟电源可远程开机、重启、关机，主板集成iBMC，可实现远程iKVM。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98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82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41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AC3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3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1E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计算节点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6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0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8D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一、功能要求</w:t>
            </w:r>
          </w:p>
          <w:p w14:paraId="37E98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支持VT-X，VT-d功能，使用qemu-kvm和Docker虚拟化技术提供底层技术支持。接收管理节点的调度任务，是计算任务的承载体。</w:t>
            </w:r>
          </w:p>
          <w:p w14:paraId="1511D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1.支持将竞赛数据至网络靶场竞技系统管理节点的实时传输；</w:t>
            </w:r>
          </w:p>
          <w:p w14:paraId="32A20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2.支持计算节点的系统资源被管理节点实时调用；</w:t>
            </w:r>
          </w:p>
          <w:p w14:paraId="02516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3.支持实时监控挂载运行虚拟机数量，并实时提供虚拟机占用资源情况；</w:t>
            </w:r>
          </w:p>
          <w:p w14:paraId="1F7AD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4.支持自动对系统内闲置资源的实时释放，防止资源被消耗浪费；</w:t>
            </w:r>
          </w:p>
          <w:p w14:paraId="4505E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5.支持KVM虚拟化技术，内置轮询算法，支持最优算法测算及选择；</w:t>
            </w:r>
          </w:p>
          <w:p w14:paraId="52BEE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二、硬件要求</w:t>
            </w:r>
          </w:p>
          <w:p w14:paraId="4A185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标准2U机架式硬件，配置安装导轨；</w:t>
            </w:r>
          </w:p>
          <w:p w14:paraId="1416A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主机：2U服务器产品，采用INTEL C621芯片组，支持两颗Intel® Xeon® Processor Scalable可扩展家族CPU；</w:t>
            </w:r>
          </w:p>
          <w:p w14:paraId="5EE71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CPU：≥2*Intel Xeon Silver 4310 12C 2.10GHz 18MB 120W；</w:t>
            </w:r>
          </w:p>
          <w:p w14:paraId="19828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内存：≥128GBD DR4-3200 ECC REG RDIMM；</w:t>
            </w:r>
          </w:p>
          <w:p w14:paraId="56F9F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硬盘：≥2.5" 1.92T GEN4 读取密集 U.2；</w:t>
            </w:r>
          </w:p>
          <w:p w14:paraId="5DA14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接口：≥4个千兆网口，为减少网络延迟，集成的双口千兆网卡必须支持I/O AT、负载均衡、链路汇聚、绑定冗余等特性；</w:t>
            </w:r>
          </w:p>
          <w:p w14:paraId="08222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 扩展槽：支持≥6个PCIE 4.0 ；</w:t>
            </w:r>
          </w:p>
          <w:p w14:paraId="31E0A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远程管理：标配远程管理控制端口，可实现与操作系统无关的远程对服务器的完全控制，虚拟电源可远程开机、重启、关机，主板集成iBMC，可实现远程iKVM。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A0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05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DA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A92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F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2B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汇聚交换机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0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6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48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1、≥24 个 10/100/1000BASE-T 端口,≥4 个 1G/10GBASE-X SFP Plus 端口,≥1 个 Slot；</w:t>
            </w:r>
          </w:p>
          <w:p w14:paraId="063F8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2、背板带宽：≥598Gbps/5.98Tbps；</w:t>
            </w:r>
          </w:p>
          <w:p w14:paraId="0DE94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3、包转发率：≥222Mpps ；</w:t>
            </w:r>
          </w:p>
          <w:p w14:paraId="0D874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4、支持基于端口的VLAN（4K个）；</w:t>
            </w:r>
          </w:p>
          <w:p w14:paraId="4CE04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5、支持静态路由；</w:t>
            </w:r>
          </w:p>
          <w:p w14:paraId="3A965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6、工作环境：0℃～45℃；</w:t>
            </w:r>
          </w:p>
          <w:p w14:paraId="55DE1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7、支持IEEE802.3x 流量控制(全双工)，支持PPS/bps风暴抑制；</w:t>
            </w:r>
          </w:p>
          <w:p w14:paraId="23DF7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8、支持基于端口/MAC/协议/IP子网的VLAN；</w:t>
            </w:r>
          </w:p>
          <w:p w14:paraId="52277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9、支持PMTU支持IPv6 Ping,IPv6 Tracert,IPv6 Telnet；</w:t>
            </w:r>
          </w:p>
          <w:p w14:paraId="09510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10、支持IGMP Snooping v1/v2/v3，MLD Snooping v1/v2；</w:t>
            </w:r>
          </w:p>
          <w:p w14:paraId="0FD65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11、支持报文的802.1p和DSCP优先级重新标记；</w:t>
            </w:r>
          </w:p>
          <w:p w14:paraId="07B5A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12、支持802.1X认证, 单端口最大用户数限制；</w:t>
            </w:r>
          </w:p>
          <w:p w14:paraId="2BE70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支持SSH 2.0、RADIUS、HTTPS。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8A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06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6B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1C4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5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C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机柜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2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B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85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1、尺寸：宽度600mm，深度1000mm，高度42U；</w:t>
            </w:r>
          </w:p>
          <w:p w14:paraId="04AB1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2、前门：网门材质，带锁，可拆卸；</w:t>
            </w:r>
          </w:p>
          <w:p w14:paraId="281B4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3、后门：全金属材质，散热网孔设计，带锁，可拆卸；</w:t>
            </w:r>
          </w:p>
          <w:p w14:paraId="3B2FF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侧板：速装卸侧板，全金属材质。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AE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41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48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2F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C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1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智能云调度模块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0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4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F8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1、支持系统资源的调度，提供高度贴近实战的仿真网络信息安全对抗环境；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2、系统调度虚拟靶机资源为上层的业务系统提供环境支撑，网络拓扑资源为竞赛环境提供拓扑支撑，题库资源主要为竞赛提供试题资源的支撑；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3、系统实时监控系统硬件资源的利用率，为平台提供稳定、高效、高并发的虚拟化能力，实现资源最大化利用；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4、管理员可自行创建竞赛或练习场景，可自行选择题目类型、题目数量、竞赛时间并自动计算总体分值；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5、支持靶机环境自动生成，包括练习使用靶机与竞赛使用靶机；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6、系统根据题目拓扑类型生成对应的网络环境，网络环境数量会随比赛队伍数或练习队伍数智能生成。每一套网络环境，是完全隔离的、独享的；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7、智能建立参赛团队与虚机环境之间的联系，学生作答登录指定环境；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8、为保证攻防阶段比赛的公平公正性，每套环境中虚机密码不同；（为证明此功能的真实性，必须提供截图并加盖投标人公章）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3A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B0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7B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35A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1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2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竞赛过程管理模块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4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8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B3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1、支持竞赛用户管理，包括添加/批量添加用户、批量初始化密码、删除/批量删除用户、添加团队、删除/批量删除团队等；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2、支持工具的上传和下载，管理员可预置工具分类，参赛者登录客户端后可以进行工具查询并下载；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3、系统支持管理员用户自定义创建赛题，支持批量添加赛题；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4、支持用户自定义创建竞赛试卷，试题类型可自由组合，系统自动统计试题数量和分值；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5、支持用户自定义创建竞赛，竞赛启动分手动开启和自动开启两种，竞赛结束后系统自动清除靶场环境；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自动开启竞赛阶段支持设置竞赛阶段的开始时间和结束时间，到指定时间时自动开始该阶段的比赛，未到指定时间时也可手动开启该阶段，不影响下一阶段自动开启；（为证明此功能的真实性，必须提供截图并加盖投标人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7、每场竞赛中支持多个竞赛阶段同时开启，最多6个竞赛阶段；（为证明此功能的真实性，必须提供功能视频）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8、靶场环境中的flag推送时间可自定义设定；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9、系统支持同时进行多场竞赛，支持启动竞赛、暂停竞赛、关闭竞赛三种操作方式；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10、竞赛过程中，支持查看所有队伍的靶机的使用情况，支持对靶机环境进行管理操作；（为证明此功能的真实性，必须提供截图并加盖投标人公章）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11、支持练习模式。练习模式下，选手可以在登录界面中查看题目的详细解题指导文档；（为证明此功能的真实性，必须提供功能视频）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支持八种竞赛阶段：基础理论阶段、夺旗闯关阶段、主机渗透阶段、攻防对抗阶段、取证溯源阶段、企业环境渗透阶段、安全加固固阶、自定义竞赛阶段；（为证明此功能的真实性，必须提供截图并加盖投标人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13、支持管理员在取证溯源阶段控制题目、关卡、靶机访问权限的开放和关闭；（为证明此功能的真实性，必须提供截图并加盖投标人公章）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14、竞赛支持针对不同用户发布不同的公告信息，支持实时弹出公告功能，支持向指定参赛队伍发送公告；支持向指定队员发送公告。（为证明此功能的真实性，必须提供截图并加盖投标人公章）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B4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8A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E7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9A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A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4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态势展示模块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4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5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3E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1、竞赛过程中，参赛端展示系统当前时间、竞赛及阶段相关的时间信息，方便选手合理分配；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2、支持同时开启多场竞赛，用户可自主选择观看的竞赛；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八个竞赛阶段，支持八种不同的态势展现形式，具体表现为基础理论阶段、夺旗闯关阶段、主机渗透阶段、攻防对抗阶段、取证溯源阶段、企业环境渗透阶段、安全加固阶段、自定义竞赛阶段八种不同的竞赛态势展现效果；（为证明此功能的真实性，必须提供功能视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4、取证溯源阶段，支持以态势图的形式展示本阶段的参赛队伍的答题情况。支持显示每个参赛队伍本阶段的答题数量、得分、当前排名、支持参赛队伍的总得分及总名次统计；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企业环境渗透阶段，直观展示企业环境的网络拓扑结构，智能发现拓扑中的新网络，发现后可被显示。选手攻击了拓扑中某台机器，可以动态展示攻击效果，攻击成功有加分效果。支持显示每个参赛队伍本阶段的答题数量、得分、当前排名、支持参赛队伍的总得分及总名次统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6、安全加固阶段，支持展示所有队伍的加固情况，以及对拓扑中的哪个区域进行了加固。支持显示每个队伍此阶段的答题数量、得分、当前排名、支持参赛队伍的总得分及总名次统计；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E2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27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AD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001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C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4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分析评估模块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7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D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04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1、支持分析每个参赛团队每个阶段中的实时得分、赛题提交时间、所有题目的提交答案历史；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2、支持通过团队名称、所属院校查询团队成绩详情；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3、支持竞赛成绩导出，导出内容包含参赛队伍信息、各阶段分值等信息，导出格式Excel；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4、能够将任意一支队伍的所有阶段答题详情进行导出，导出格式为图片，导出内容包含各阶段得分占比图、正确率占比图、整场比赛的得分走势图、答题详情；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5、支持展示本场竞赛中所有团队的总体得分、阶段得分，包括每个队伍得分时间现状图；（为证明此功能的真实性，必须提供截图并加盖投标人公章）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6、支持按照团队统计与题目统计两种方式统计成绩，团队统计为每个团队的得分情况进行统计，题目统计以每道题目在各个团队的答题正确率进行统计；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7、团队统计以图形化展示统计，包括图形化展示各个阶段的得分占比、正确率占比、整体竞赛的得分走势图、手动加减分详情及时间；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8、按题目统计中有每道题的分值，答对题目团队的数量，所有团队的正确率等信息；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9、按题目统计中可以查看每道题的答题详情，其中体现每道题的作答用户，所属院校，提交答案，提交时间，提交状态等信息；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10、支持对历史竞赛的查看功能，支持演练任务库存储不少于1000个历史任务；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00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90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7C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8A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9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6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场景设计模块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0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5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B3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1、系统内置多种靶机、防火墙、路由器等资源；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2、竞赛场景无限制，用户根据需求可自定义任意场景，创建虚拟主机及网络拓扑等；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3、支持用户自定义靶机，包含选择所使用的镜像、操作系统等；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4、靶机上传过程中，支持超大文件的断点续传，靶机格式支持qcow2、img、iso；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5、支持用户以拖拽方式自主设计网络拓扑，可拖拽多个网络和主机，组成不同vlan，提供可视化展示，并支持按网络拓扑图自动生成虚拟网络环境；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6、支持防火墙功能，防火墙作用于不同网络之间，实现网络间的阻隔与放行设置，支持给防火墙增加策略和防火墙规则，以实现不同功能；（为证明此功能的真实性，必须提供截图并加盖投标人公章）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7、支持安全组功能，安全组作用于不同虚拟机主机之间，实现主机间不同协议和端口的阻隔与放行设置，支持给安全组增加规则；（为证明此功能的真实性，必须提供截图并加盖投标人公章）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8、支持给网络设置ip段，支持给主机设置固定ip；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9、支持镜像库管理功能，支持添加、删除、查询等操作，根据镜像大小可选择网页上传或工具上传两种形式。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52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A5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EF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631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2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5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用户授权许可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B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5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9095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单用户授权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1、作为用户登录网络靶场竞技系统的唯一入口，用户能使用本角色的所有功能；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单用户授权，可以自动识别选手、管理员用户，无需在登录时选择用户角色。学生用户可以实现参与竞赛或练习答题相关操作，管理员用户可以实现对竞赛本身的管理以及资源使用情况的监控。标准产品可实现40用户并发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F9A3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B4BB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7791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858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4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4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基础考核资源库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9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E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85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1、包含基本编码、MySQL数据库安全、SQL注入利用、信息隐藏、XSS与编码、MSSQL数据库安全、MD5算法、缓冲区溢出之shellcode提取、移动应用的安全防护、逆向工程等内容；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2、包含密码破解、SQL注入、源码分析、欺骗技术、缓冲区溢出、溢出攻击安全防护、编码解析等内容；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3、包括Windows操作系统主机安全防护、Linux/Unix操作系统主机安全防护、DNS系统的安全防护、扫描与探测、DOS及DDOS类攻击的安全防护、网络层攻击的安全防护；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4、包含主机恶意代码防护、网络单元信息的收集、暴力破解、Web入侵安全防护、安全设备与工具、系统压缩文件密码破解、代码审计等内容；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B7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F1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AD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4C7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A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C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夺旗闯关资源库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1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8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1D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1、题目类型必须包括WEB安全、密码学、安全杂项、逆向工程、编程、溢出等6大类型；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web安全方面包含SQL注入，宽字节注入，盲注，报错注入，字符串黑名单绕过、SSRF服务端请求伪造获取数据，文件包含(本地和远程)，文件上传和各种检查绕过和解析漏洞，php代码审计中的变量覆盖，命令执行，反序列化等漏洞和hash函数的不当使用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3、密码学包含古典密码中单表代换加密：凯撒密码 ，多表代换加密，以及其他类型加密如JSFuck，培根密码，栅栏密码，RSA加密，选择密文攻击，hash长度扩展攻击、DSA数字签名，以及伪随机数生成相关攻击；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4、杂项包括Morse 编码、格雷编码、曼彻斯特编码、XXencoding、Base64、ASCII 编码、以及条形码、二维码相关技术。元数据提取，像素值转化，png图片的lsb信息隐藏，图片长宽调整隐藏，gif图片多帧、时间轴中隐藏信息。pcap文件修复，http，dns等各种协议分析。压缩包暴力破解，明文攻击，伪加密。音频隐写： mp3 、 波形、频谱、LSB音频隐写。Ext，Fat等文件格式分析，内存数据分析；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5、逆向工程包括脱壳技术、反调试技术、Linux逆向技术、python smali java 等语言的逆向技术，windows PE 和 Linux ELF 文件的逆向；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6、pwn栈溢出包括保护机制绕过、ROP技术，SROP，BROP等、栈指针劫持，动态链接绕过ASLR（ret2dl_resolve）、Partial overwrite 绕过ASLR，绕过canary(leak)。pwn堆溢出方面包括UAF ，double free、off by one 、Fastbin Attack、Unsorted bin attack、Chunk Extend / Shrink、House Of Einherjar、House of Lore、House Of Force、Unsorted Bin Attack、House of Orange。溢出其他漏洞包括格式化字符串漏洞造成任意地址读写、整数溢出漏洞、条件竞争漏洞、linux内核漏洞exploit编写；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04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99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68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3CD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7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4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主机渗透资源库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8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9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7B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1、包含mailpress RCE漏洞、弱口令漏洞、权限提升、注入漏洞、失效的身份认证、安全配置错误、目录遍历漏洞、任意文件读取漏洞、后台密码爆破、认证绕过漏洞、网页编辑器漏洞、任意文件上传漏洞、敏感文件泄露漏洞、上传绕过漏洞、自定义页面上传木马、中间件解析漏洞等漏洞内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2、包括信息收集、php-fpm未授权访问、redis未授权访问、Web入侵安全防护、主机入侵与防护、数据库攻击与防护、溢出攻击、提权攻击与防护、后门技术与防护措施、操作系统漏洞等漏洞类型；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包含基本编码、MySQL数据库安全、SQL注入利用、XXE实体注入利用、LDAP注入、OS命令注入、文件包含、代码注入、数据库远程登录、信息隐藏、XSS与编码、CSRF利用、MSSQL数据库安全、MD5算法、缓冲区溢出之shellcode提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4、包含端口扫描、密码破解、SQL注入、源码分析、欺骗技术、缓冲区溢出、组件安全、编码解码、防火墙防护配置及绕过技术等内容；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5、包含系统压缩文件密码破解、代码审计、密码哈希破解等内容；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2E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17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4C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346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6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B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攻防对抗资源库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F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9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55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1、包括但不限于通信企业、交流平台、涉密企业、电商平台、金融机构等比赛场景；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2、包含任意文件读取漏洞、敏感文件泄露漏洞、网页编辑器漏洞、任意权限getshell、后台任意目录上传和执行、弱密码爆破、宽字节配合万能密钥等漏洞；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3、包含mailpress RCE漏洞、弱口令漏洞、注入漏洞、权限提升、失效的身份认证、安全配置错误、php-fpm未授权访问、中间件解析漏洞、目录遍历漏洞、爆破密码、认证绕过漏洞、任意文件上传漏洞、上传绕过漏洞、自定义页面上传木马等漏洞内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4、包含基本编码、数据库安全、溢出攻击、信息隐藏、XSS与编码、MD5算法、缓冲区溢出之shellcode提取；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5、包含密码破解、主机入侵与防护、SQL注入、XXE实体注入、LDAP注入、OS命令注入、文件包含、代码注入、数据库远程登录、源码分析、欺骗技术、组件安全、提权攻击与防护、编码解码等内容；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6、包含各类信息收集、php-fpm未授权访问、redis未授权访问、Web入侵安全防护、主机入侵与方式、压缩文件密码破解、数据库安全、后门技术与防护、代码审计、操作系统漏洞；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7、可以对各队伍主机的运行情况进行监控，如果选手恶意关闭必要服务，监控程序自动扣分。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7D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F3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B6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C34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9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6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取证溯源资源库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A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8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7F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1、包含子域名爆破、伪造邮件、c段扫描、awvs扫描网站、爆破后台、sql注入、sqlmap扫描、编辑网站模板写shell、数据库下载、反弹内网shell；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2、包含文件上传、xss、系统口令爆破、ftp爆破、ssh口令爆破、web口令爆破、mysql数据库密码爆破、sqlserver数据库密码爆破、vnc密码爆破；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3、包含wordpress网站、dedecms网站、drupal网站、joomla网站、discuz网站、phpcms网站；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4、包含ssh后门、定时任务执行恶意代码、web代理、socks5代理、socks4代理、端口转发，插入js恶意代码；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包含ntscan的使用、vlan划分、web指纹识别工具的使用、nessus的使用、java反序列化工具的使用、apache解析漏洞的使用、钓鱼邮件的构造、邮件挂马应用、webshell密码爆破、portscan的使用、ftp爆破、john的使用、hydra的使用、linux定时任务、php越权访问、rootkit木马的使用、js探针的使用、伪造邮箱地址、vpn暴力破解、wwwscan的使用、子域名爆破、awvs的使用、php木马的使用、c段扫描工具的使用、nslook的使用、使用ftp提权、撞库攻击、iTop系统的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包含sqlmap注入流量识别、sql注入流量识别、菜刀流量识别、js代码分析、js代码解密、webshell流量识别、远程命令流量识别、爆破流量识别、ftp流量识别、mysql协议识别、反序列化力量识别、weblogic后门识别、jsp木马识别、redis流量识别、arp流量识别、mail协议分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7、ftp交互流量分析、ftp数据端口计算、流量中文件提取、webshell代码分析、网站密码hash破解、linux系统密码破解、joomla密码破解；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8、pam后门查找分析、分析bash_history、查找隐藏webshell、查找系统后门、计划任务后门分析；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63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03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1C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AC7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5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E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企业环境渗透资源库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8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5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26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1、包含5个虚拟机以上的网络拓扑环境、必须包括多个vlan、必须有模拟的外网地址、且选手只能通过外网地址访问环境；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2、包含web口令爆破、ftp口令爆破、ssh口令爆破、后台地址爆破、目录爆破、绝对路径获取、hash密码破解；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包含文件上传绕过漏洞、敏感信息泄露漏洞、远程代码执行漏洞、java反序列化命令执行漏洞、php反序列化命令执行漏洞、xxe注入漏洞、文件包含漏洞、认证绕过漏洞、sql注入漏洞、sql二次注入漏洞、sql注入绕过waf、密码重置逻辑漏洞、任意文件读取漏洞、条件竞争泄露hash漏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4、包含数据库获取webshell、修改配置文件注入so共享库漏洞、邮件服务器协议利用、metinfo后台getshell、jymusic后台getshell；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5、包含wordpress插件任意文件下载漏洞office命令执行漏洞、snmp信息泄露漏洞、Supervisord 远程命令执行漏洞、读取chrome保存的账号密码、双重md5解密；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6、包含python、php源码分析；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7、包含Joomla二阶注入漏洞、appcms的前台sql注入漏洞、zoom client远程命令执行漏洞；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8、包含Apache ActiveMQ Fileserver远程代码执行漏洞、Haraka远程代码执行漏洞、Xplico未授权远程命令执行、OFFICE-CVE-2017-11882漏洞、CVE-2017-12629漏洞、MS15-077漏洞、CVE-2014-3704漏洞、CVE-2017-12635漏洞、CVE-2017-12636漏洞、JTRT Responsive Tables注入漏洞；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9、包含防毒墙的认证绕过漏洞、防毒墙的认证绕过漏洞；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10、包含内网扫描、端口转发、nc反弹shell、msf木马获取meterpreter-shell、web代理、socks4代理、socks5代理、windows系统提权、linux系统提权。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5C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8B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F9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197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2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B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安全加固资源库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8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F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04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1、包含口令加固、文件上传绕过加固、sql注入加固、密码重置加固、重装漏洞加固；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2、包含webshell清理加固、文件及目录权限加固、用户权限加固、代码执行加固、php反序列化加固、java反序列化加固；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3、包含端口加固、系统服务权限加固、命令注入加固、任意文件读取加固、穷举用户加固、web未授权访问加固；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4、包括权限提升加固、信息泄露加固、接口暴露加固、数据库未授权访问加固；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5、包括对所有加固点的监控，检测到异常自动扣分，检测到加固成功自动加分，检测时间可以根据智能算法控制，防止选手猜测出检测时间。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83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93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DF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1A6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3" w:type="dxa"/>
          <w:trHeight w:val="30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0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0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工具资源库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8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2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BF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1、安全工具类别包含漏洞扫描、扫描嗅探、密码破解、加密解密、逆向工程、木马后门、远程控制、代理工具、综合工具等；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2、工具数量不少于38款，须包含但不限于以下内容：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(1)御剑后台扫描超强85W字典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(2)小葵多功能转换工具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(3)Android逆向助手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(4)Seay源代码审计系统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(5)caidao2016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(6)Burpsuite_pro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(7)Proxifier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(8)verify_CVE-2017-12149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5A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1E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78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tbl>
      <w:tblPr>
        <w:tblStyle w:val="17"/>
        <w:tblpPr w:leftFromText="180" w:rightFromText="180" w:vertAnchor="text" w:tblpX="116" w:tblpY="31"/>
        <w:tblOverlap w:val="never"/>
        <w:tblW w:w="10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90"/>
        <w:gridCol w:w="9705"/>
      </w:tblGrid>
      <w:tr w14:paraId="1C0D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690" w:type="dxa"/>
          </w:tcPr>
          <w:p w14:paraId="6DD5D3C8">
            <w:pPr>
              <w:spacing w:line="360" w:lineRule="auto"/>
              <w:rPr>
                <w:rFonts w:hint="eastAsia" w:ascii="宋体" w:hAnsi="宋体" w:eastAsia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9705" w:type="dxa"/>
          </w:tcPr>
          <w:p w14:paraId="438C04A0">
            <w:pPr>
              <w:spacing w:line="360" w:lineRule="auto"/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vertAlign w:val="baseline"/>
              </w:rPr>
            </w:pPr>
          </w:p>
        </w:tc>
      </w:tr>
    </w:tbl>
    <w:p w14:paraId="41DA4679">
      <w:pPr>
        <w:spacing w:line="360" w:lineRule="auto"/>
        <w:ind w:firstLine="568" w:firstLineChars="202"/>
        <w:rPr>
          <w:rFonts w:hint="eastAsia" w:ascii="宋体" w:hAnsi="宋体"/>
          <w:b/>
          <w:bCs/>
          <w:color w:val="FF0000"/>
          <w:sz w:val="28"/>
          <w:szCs w:val="28"/>
        </w:rPr>
      </w:pPr>
    </w:p>
    <w:p w14:paraId="30A6BBF6">
      <w:pPr>
        <w:spacing w:line="440" w:lineRule="exact"/>
        <w:outlineLvl w:val="2"/>
        <w:rPr>
          <w:rFonts w:ascii="宋体" w:hAnsi="宋体"/>
          <w:b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b/>
          <w:color w:val="FF0000"/>
          <w:sz w:val="28"/>
          <w:szCs w:val="28"/>
        </w:rPr>
        <w:t>备注：以上参数仅供参考，报价产品达到或优于以上参数即可，参与竞谈单位根据以上功能需求，提供自有品牌产品的详细技术方案，技术方案中提供详细的功能描述、技术参数</w:t>
      </w:r>
      <w:r>
        <w:rPr>
          <w:rFonts w:hint="eastAsia" w:ascii="宋体" w:hAnsi="宋体"/>
          <w:b/>
          <w:bCs/>
          <w:color w:val="FF0000"/>
          <w:sz w:val="28"/>
          <w:szCs w:val="28"/>
        </w:rPr>
        <w:t>。</w:t>
      </w:r>
    </w:p>
    <w:p w14:paraId="14F4B1C5">
      <w:pPr>
        <w:adjustRightInd w:val="0"/>
        <w:snapToGrid w:val="0"/>
        <w:spacing w:line="400" w:lineRule="exact"/>
        <w:ind w:firstLine="48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五、最终报价及相关文件要求：</w:t>
      </w:r>
    </w:p>
    <w:tbl>
      <w:tblPr>
        <w:tblStyle w:val="1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121"/>
        <w:gridCol w:w="767"/>
        <w:gridCol w:w="1090"/>
        <w:gridCol w:w="1719"/>
        <w:gridCol w:w="1090"/>
        <w:gridCol w:w="927"/>
        <w:gridCol w:w="1248"/>
        <w:gridCol w:w="1090"/>
        <w:gridCol w:w="794"/>
      </w:tblGrid>
      <w:tr w14:paraId="1035E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C86AEFE">
            <w:pPr>
              <w:adjustRightInd w:val="0"/>
              <w:spacing w:line="400" w:lineRule="exact"/>
              <w:ind w:firstLine="475" w:firstLineChars="197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（一）报价文件格式</w:t>
            </w:r>
          </w:p>
        </w:tc>
      </w:tr>
      <w:tr w14:paraId="0C0AE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8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802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1CB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38E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475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详细技术参数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FB7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CF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7BA52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DCF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小计（元）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0EF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0B368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CA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AC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BEF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1AF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3A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66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152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217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F45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92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9582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3C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31D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41A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C17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DC1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9A1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E75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737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1FE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BA5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39D2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D1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DB1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1C6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59F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F7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84A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732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5C4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E79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1AE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338C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46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EBE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72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979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大写：            （</w:t>
            </w:r>
            <w:r>
              <w:rPr>
                <w:rFonts w:hint="eastAsia" w:ascii="宋体" w:hAnsi="宋体"/>
                <w:color w:val="000000"/>
                <w:sz w:val="24"/>
              </w:rPr>
              <w:t>小写：￥0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00,000.00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14:paraId="250C5966">
      <w:pPr>
        <w:adjustRightInd w:val="0"/>
        <w:spacing w:line="400" w:lineRule="exact"/>
        <w:rPr>
          <w:rFonts w:ascii="宋体" w:hAnsi="宋体"/>
          <w:b/>
          <w:bCs/>
          <w:sz w:val="28"/>
          <w:szCs w:val="28"/>
        </w:rPr>
      </w:pPr>
    </w:p>
    <w:p w14:paraId="2DA1C02B">
      <w:pPr>
        <w:adjustRightInd w:val="0"/>
        <w:spacing w:line="400" w:lineRule="exact"/>
        <w:rPr>
          <w:rFonts w:ascii="宋体" w:hAnsi="宋体"/>
          <w:b/>
          <w:bCs/>
          <w:sz w:val="28"/>
          <w:szCs w:val="28"/>
        </w:rPr>
      </w:pPr>
    </w:p>
    <w:tbl>
      <w:tblPr>
        <w:tblStyle w:val="1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23"/>
        <w:gridCol w:w="1227"/>
        <w:gridCol w:w="1017"/>
        <w:gridCol w:w="1609"/>
        <w:gridCol w:w="1609"/>
        <w:gridCol w:w="913"/>
        <w:gridCol w:w="1144"/>
        <w:gridCol w:w="1142"/>
      </w:tblGrid>
      <w:tr w14:paraId="55609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2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3D8D0D">
            <w:pPr>
              <w:adjustRightInd w:val="0"/>
              <w:spacing w:line="400" w:lineRule="exact"/>
              <w:ind w:firstLine="475" w:firstLineChars="197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（二）技术文件格式</w:t>
            </w:r>
          </w:p>
        </w:tc>
      </w:tr>
      <w:tr w14:paraId="276C9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8B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9BB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08B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C25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35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招标参考参数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25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投标产品参数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292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偏离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F5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4AF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0F48C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2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25B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728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F4A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BAD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C3B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E18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CA9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A07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797E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77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B83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2ED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D76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136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2E7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C90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874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B94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DDA4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A2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733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261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49E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DF1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D25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AF2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2ED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453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1E0F9BBB">
      <w:pPr>
        <w:adjustRightInd w:val="0"/>
        <w:snapToGrid w:val="0"/>
        <w:spacing w:line="400" w:lineRule="exact"/>
        <w:ind w:firstLine="48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4"/>
        </w:rPr>
        <w:t>投标相关文件要求：</w:t>
      </w:r>
    </w:p>
    <w:p w14:paraId="5F1B0CC9">
      <w:pPr>
        <w:spacing w:line="360" w:lineRule="auto"/>
        <w:ind w:firstLine="565" w:firstLineChars="20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所有报价均以人民币最终报价，含设备费用、安装调试费、运费、清洁费、退换货费、税费(提供增值税普通发票)、售后服务等全部费用。报价文件中须提供详细报价清单并提供安装调试时间，并满足项目建设方案技术要求</w:t>
      </w:r>
    </w:p>
    <w:p w14:paraId="21DCA975">
      <w:pPr>
        <w:spacing w:line="360" w:lineRule="auto"/>
        <w:ind w:firstLine="565" w:firstLineChars="20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2.竞谈人须在竞价文件中单独提供一份切实可行的售后服务承诺书，明确质保期内、外的服务条款。</w:t>
      </w:r>
    </w:p>
    <w:p w14:paraId="1AA35141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</w:t>
      </w:r>
      <w:r>
        <w:rPr>
          <w:rFonts w:hint="eastAsia"/>
        </w:rPr>
        <w:t xml:space="preserve"> </w:t>
      </w:r>
      <w:r>
        <w:rPr>
          <w:rFonts w:hint="eastAsia" w:ascii="宋体" w:hAnsi="宋体"/>
          <w:sz w:val="28"/>
          <w:szCs w:val="28"/>
        </w:rPr>
        <w:t>竞谈人在投标的同时请附上企业现行合法有效的营业执照原件（或营业执照公证件）及复印件（盖公章）以及售后服务承诺等相关证明。</w:t>
      </w:r>
    </w:p>
    <w:p w14:paraId="4AB9AE79">
      <w:pPr>
        <w:spacing w:line="360" w:lineRule="auto"/>
        <w:ind w:firstLine="565" w:firstLineChars="20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4.如竞价人单位法定代表人未能到现场参与，委托单位其他人员参与竞谈的，需提供法定代表人授权委托书及竞谈人在本公司购买的近6个月社保证明。</w:t>
      </w:r>
    </w:p>
    <w:p w14:paraId="4AFEB319">
      <w:pPr>
        <w:tabs>
          <w:tab w:val="left" w:pos="600"/>
        </w:tabs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5. ★标书中的报价文件和技术文件需分别独立封装。其中报价文件应包含详细的设备清单及报价；技术文件则必须涵盖资质证明、竞价人提供的近三年内3个以上同类产品的业绩合同复印件（需加盖单位公章）或竞价人提供的厂家近三年内3个以上同类产品的业绩合同复印件（需加盖厂家公章）。此外，技术文件还应包括谈判代表的授权书、社保证明、详细清单、技术参数偏离表、建设方案以及售后服务方案等，且技术文件中严禁包含任何产品报价信息。投标现场还需提供一份U盘，存储上述资质证明、业绩合同复印件、谈判代表的授权书及社保证明等文件的盖章件电子档。</w:t>
      </w:r>
    </w:p>
    <w:p w14:paraId="5C3A557C">
      <w:pPr>
        <w:tabs>
          <w:tab w:val="left" w:pos="600"/>
        </w:tabs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6. 对于代理产品的供应商，若中标，在签订合同前，必须提供原厂家的授权书及售后承诺书（需加盖厂家公章）。</w:t>
      </w:r>
    </w:p>
    <w:p w14:paraId="0107A352">
      <w:pPr>
        <w:spacing w:line="580" w:lineRule="exact"/>
        <w:ind w:firstLine="849" w:firstLineChars="302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六、交货及货款的结算方式：</w:t>
      </w:r>
    </w:p>
    <w:p w14:paraId="3E0E99E8">
      <w:pPr>
        <w:spacing w:line="360" w:lineRule="auto"/>
        <w:ind w:firstLine="560" w:firstLineChars="200"/>
        <w:rPr>
          <w:rFonts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在合同签订后，严格按照院方指定的时间、地点安装调试完毕，并作好人员培训等相关工作，经验收合格后支付总货款的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95</w:t>
      </w:r>
      <w:r>
        <w:rPr>
          <w:rFonts w:ascii="宋体" w:hAnsi="宋体"/>
          <w:color w:val="000000"/>
          <w:sz w:val="28"/>
          <w:szCs w:val="28"/>
        </w:rPr>
        <w:t xml:space="preserve"> %</w:t>
      </w:r>
      <w:r>
        <w:rPr>
          <w:rFonts w:hint="eastAsia" w:ascii="宋体" w:hAnsi="宋体"/>
          <w:color w:val="000000"/>
          <w:sz w:val="28"/>
          <w:szCs w:val="28"/>
        </w:rPr>
        <w:t>，余款5%在质保期满后支付。</w:t>
      </w:r>
    </w:p>
    <w:p w14:paraId="3354E492">
      <w:pPr>
        <w:spacing w:line="360" w:lineRule="auto"/>
        <w:ind w:firstLine="565" w:firstLineChars="201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七、谈判有关说明：</w:t>
      </w:r>
    </w:p>
    <w:p w14:paraId="0AE04239">
      <w:pPr>
        <w:spacing w:line="360" w:lineRule="auto"/>
        <w:ind w:firstLine="61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1.谈判地点：重庆人文科技学院后勤处一楼会议室。 </w:t>
      </w:r>
    </w:p>
    <w:p w14:paraId="4F5595D1">
      <w:pPr>
        <w:spacing w:line="360" w:lineRule="auto"/>
        <w:ind w:firstLine="615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2.谈判时间：</w:t>
      </w:r>
      <w:r>
        <w:rPr>
          <w:rFonts w:hint="eastAsia" w:ascii="宋体" w:hAnsi="宋体"/>
          <w:sz w:val="28"/>
          <w:szCs w:val="28"/>
          <w:lang w:eastAsia="zh-CN"/>
        </w:rPr>
        <w:t>另行通知</w:t>
      </w:r>
    </w:p>
    <w:p w14:paraId="36DDACF1">
      <w:pPr>
        <w:spacing w:line="360" w:lineRule="auto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3.有关规定：超过谈判截止时间、不密封的谈判文件或不按《谈判文件》规定提交相关资质的谈判，我处恕不接受。</w:t>
      </w:r>
    </w:p>
    <w:p w14:paraId="4B6B46E0">
      <w:pPr>
        <w:spacing w:line="360" w:lineRule="auto"/>
        <w:ind w:firstLine="565" w:firstLineChars="201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八、联系人及联系方式：范老师  023-42460570</w:t>
      </w:r>
    </w:p>
    <w:p w14:paraId="218BA007">
      <w:pPr>
        <w:spacing w:line="360" w:lineRule="auto"/>
        <w:ind w:firstLine="565" w:firstLineChars="201"/>
        <w:rPr>
          <w:rFonts w:eastAsia="仿宋_GB2312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九、凡涉及本次谈判文件的解释权归竞争性谈判管理小组。</w:t>
      </w:r>
    </w:p>
    <w:p w14:paraId="2879E090">
      <w:pPr>
        <w:tabs>
          <w:tab w:val="left" w:pos="600"/>
        </w:tabs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十、一切与谈判有关的费用，均由竞谈人自理。</w:t>
      </w:r>
    </w:p>
    <w:p w14:paraId="1CA73E1A">
      <w:pPr>
        <w:tabs>
          <w:tab w:val="left" w:pos="600"/>
        </w:tabs>
        <w:spacing w:line="360" w:lineRule="auto"/>
        <w:ind w:firstLine="3213" w:firstLineChars="10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32"/>
          <w:szCs w:val="32"/>
        </w:rPr>
        <w:t>第二部分</w:t>
      </w:r>
      <w:r>
        <w:rPr>
          <w:rFonts w:ascii="宋体" w:hAnsi="宋体"/>
          <w:b/>
          <w:bCs/>
          <w:sz w:val="32"/>
          <w:szCs w:val="32"/>
        </w:rPr>
        <w:t xml:space="preserve">   </w:t>
      </w:r>
      <w:r>
        <w:rPr>
          <w:rFonts w:hint="eastAsia" w:ascii="宋体" w:hAnsi="宋体"/>
          <w:b/>
          <w:bCs/>
          <w:sz w:val="32"/>
          <w:szCs w:val="32"/>
        </w:rPr>
        <w:t>竞争性谈判相关附件</w:t>
      </w:r>
    </w:p>
    <w:p w14:paraId="634C83A4">
      <w:pPr>
        <w:tabs>
          <w:tab w:val="left" w:pos="600"/>
        </w:tabs>
        <w:spacing w:line="360" w:lineRule="auto"/>
        <w:ind w:firstLine="565" w:firstLineChars="201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ascii="宋体" w:hAnsi="宋体"/>
          <w:b/>
          <w:bCs/>
          <w:sz w:val="28"/>
          <w:szCs w:val="28"/>
        </w:rPr>
        <w:t>1</w:t>
      </w:r>
      <w:r>
        <w:rPr>
          <w:rFonts w:hint="eastAsia" w:ascii="宋体" w:hAnsi="宋体"/>
          <w:b/>
          <w:bCs/>
          <w:sz w:val="28"/>
          <w:szCs w:val="28"/>
        </w:rPr>
        <w:t>：买卖合同主要条款</w:t>
      </w:r>
    </w:p>
    <w:p w14:paraId="628DBE84">
      <w:pPr>
        <w:tabs>
          <w:tab w:val="left" w:pos="600"/>
        </w:tabs>
        <w:spacing w:line="360" w:lineRule="auto"/>
        <w:ind w:firstLine="565" w:firstLineChars="201"/>
        <w:rPr>
          <w:rFonts w:ascii="宋体"/>
          <w:b/>
          <w:bCs/>
          <w:sz w:val="28"/>
          <w:szCs w:val="28"/>
        </w:rPr>
      </w:pPr>
    </w:p>
    <w:p w14:paraId="15E7AA13">
      <w:pPr>
        <w:pStyle w:val="1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买卖合同主要条款</w:t>
      </w:r>
    </w:p>
    <w:p w14:paraId="2411C099">
      <w:pPr>
        <w:widowControl/>
        <w:adjustRightInd w:val="0"/>
        <w:snapToGrid w:val="0"/>
        <w:spacing w:line="460" w:lineRule="exact"/>
        <w:ind w:firstLine="487" w:firstLineChars="202"/>
        <w:jc w:val="left"/>
        <w:rPr>
          <w:rFonts w:ascii="宋体"/>
          <w:b/>
          <w:sz w:val="24"/>
        </w:rPr>
      </w:pPr>
    </w:p>
    <w:p w14:paraId="5A2B6C13">
      <w:pPr>
        <w:widowControl/>
        <w:adjustRightInd w:val="0"/>
        <w:snapToGrid w:val="0"/>
        <w:spacing w:line="460" w:lineRule="exact"/>
        <w:ind w:firstLine="361" w:firstLineChars="150"/>
        <w:jc w:val="left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甲方（买方）：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</w:t>
      </w:r>
    </w:p>
    <w:p w14:paraId="541B100C">
      <w:pPr>
        <w:adjustRightInd w:val="0"/>
        <w:snapToGrid w:val="0"/>
        <w:spacing w:line="460" w:lineRule="exact"/>
        <w:ind w:firstLine="361" w:firstLineChars="15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乙方（卖方）：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 </w:t>
      </w:r>
    </w:p>
    <w:p w14:paraId="30F94388">
      <w:pPr>
        <w:widowControl/>
        <w:adjustRightInd w:val="0"/>
        <w:snapToGrid w:val="0"/>
        <w:spacing w:line="460" w:lineRule="exact"/>
        <w:ind w:firstLine="487" w:firstLineChars="202"/>
        <w:jc w:val="left"/>
        <w:rPr>
          <w:rFonts w:ascii="宋体"/>
          <w:b/>
          <w:sz w:val="24"/>
        </w:rPr>
      </w:pPr>
    </w:p>
    <w:p w14:paraId="338CD6FB">
      <w:pPr>
        <w:widowControl/>
        <w:adjustRightInd w:val="0"/>
        <w:snapToGrid w:val="0"/>
        <w:spacing w:line="360" w:lineRule="auto"/>
        <w:ind w:firstLine="480" w:firstLineChars="200"/>
        <w:rPr>
          <w:rFonts w:ascii="等线" w:hAnsi="等线" w:eastAsia="等线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甲乙双方就甲方向乙方购买</w:t>
      </w:r>
      <w:r>
        <w:rPr>
          <w:rFonts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事宜，</w:t>
      </w:r>
      <w:r>
        <w:rPr>
          <w:rFonts w:hint="eastAsia" w:ascii="等线" w:hAnsi="等线" w:eastAsia="等线"/>
          <w:color w:val="000000"/>
          <w:sz w:val="24"/>
        </w:rPr>
        <w:t>经友好协商一致，达成如下条款供双方遵守：</w:t>
      </w:r>
    </w:p>
    <w:p w14:paraId="5560862A">
      <w:pPr>
        <w:widowControl/>
        <w:adjustRightInd w:val="0"/>
        <w:snapToGrid w:val="0"/>
        <w:spacing w:line="440" w:lineRule="exact"/>
        <w:ind w:firstLine="484" w:firstLineChars="202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（注：以下内容为买卖合同的主要条款）</w:t>
      </w:r>
    </w:p>
    <w:p w14:paraId="0F501BE0">
      <w:pPr>
        <w:pStyle w:val="40"/>
        <w:widowControl/>
        <w:adjustRightInd w:val="0"/>
        <w:snapToGrid w:val="0"/>
        <w:spacing w:line="440" w:lineRule="exact"/>
        <w:ind w:left="568" w:firstLine="0" w:firstLineChars="0"/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一、标的物情况及价格</w:t>
      </w:r>
    </w:p>
    <w:p w14:paraId="67B7C2D2">
      <w:pPr>
        <w:widowControl/>
        <w:adjustRightInd w:val="0"/>
        <w:snapToGrid w:val="0"/>
        <w:spacing w:line="440" w:lineRule="exact"/>
        <w:ind w:left="1" w:firstLine="360" w:firstLineChars="15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（二）合同总价格为</w:t>
      </w:r>
      <w:r>
        <w:rPr>
          <w:rFonts w:hint="eastAsia" w:ascii="宋体" w:hAnsi="宋体"/>
          <w:bCs/>
          <w:color w:val="000000"/>
          <w:sz w:val="24"/>
        </w:rPr>
        <w:t>（大写）：</w:t>
      </w:r>
      <w:r>
        <w:rPr>
          <w:rFonts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（小写：￥</w:t>
      </w:r>
      <w:r>
        <w:rPr>
          <w:rFonts w:ascii="宋体"/>
          <w:color w:val="000000"/>
          <w:sz w:val="24"/>
        </w:rPr>
        <w:t>0</w:t>
      </w:r>
      <w:r>
        <w:rPr>
          <w:rFonts w:ascii="宋体" w:cs="宋体"/>
          <w:color w:val="000000"/>
          <w:kern w:val="0"/>
          <w:sz w:val="24"/>
        </w:rPr>
        <w:t>00,000.00</w:t>
      </w:r>
      <w:r>
        <w:rPr>
          <w:rFonts w:hint="eastAsia" w:ascii="宋体" w:hAnsi="宋体"/>
          <w:color w:val="000000"/>
          <w:sz w:val="24"/>
        </w:rPr>
        <w:t>），本价格包含产品（设备）价格、运输费、搬运费、质保期内售后服务费、退换货运费、清洁费、安装调试费（设备）、税金等全部费用在内，除本合同约定外，乙方不得要求甲方另行支付任何费用。</w:t>
      </w:r>
    </w:p>
    <w:p w14:paraId="18E7F1CA">
      <w:pPr>
        <w:widowControl/>
        <w:adjustRightInd w:val="0"/>
        <w:snapToGrid w:val="0"/>
        <w:spacing w:line="440" w:lineRule="exact"/>
        <w:ind w:left="1" w:firstLine="360" w:firstLineChars="15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（三）乙方承诺本合同销售产品（设备）单价不高于</w:t>
      </w:r>
      <w:bookmarkStart w:id="0" w:name="_Hlk15208814"/>
      <w:r>
        <w:rPr>
          <w:rFonts w:hint="eastAsia" w:ascii="宋体" w:hAnsi="宋体"/>
          <w:color w:val="000000"/>
          <w:sz w:val="24"/>
        </w:rPr>
        <w:t>乙方销售给第三人的价格或市场平均价格</w:t>
      </w:r>
      <w:bookmarkEnd w:id="0"/>
      <w:r>
        <w:rPr>
          <w:rFonts w:hint="eastAsia" w:ascii="宋体" w:hAnsi="宋体"/>
          <w:color w:val="000000"/>
          <w:sz w:val="24"/>
        </w:rPr>
        <w:t>（含网络销售平台平均价格）。若甲方发现向乙方购买的产品（设备）单价高于第三人的购买价格或市场平均价格，则乙方按高出部分的两倍向甲方支付违约金。价格承诺期为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日起至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日止。</w:t>
      </w:r>
    </w:p>
    <w:p w14:paraId="30770B0E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left="-178" w:leftChars="-85" w:firstLine="605" w:firstLineChars="251"/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三、交货时间</w:t>
      </w:r>
    </w:p>
    <w:p w14:paraId="70DD1644">
      <w:pPr>
        <w:pStyle w:val="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="484" w:firstLineChars="202"/>
        <w:rPr>
          <w:color w:val="C0504D"/>
          <w:sz w:val="24"/>
        </w:rPr>
      </w:pPr>
      <w:r>
        <w:rPr>
          <w:rFonts w:hint="eastAsia"/>
          <w:color w:val="000000"/>
          <w:sz w:val="24"/>
        </w:rPr>
        <w:t>甲乙双方签定合同后，乙方须在</w:t>
      </w:r>
      <w:r>
        <w:rPr>
          <w:color w:val="000000"/>
          <w:sz w:val="24"/>
          <w:u w:val="single"/>
        </w:rPr>
        <w:t xml:space="preserve">     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 </w:t>
      </w:r>
      <w:r>
        <w:rPr>
          <w:rFonts w:hint="eastAsia"/>
          <w:color w:val="000000"/>
          <w:sz w:val="24"/>
        </w:rPr>
        <w:t>日之前将甲方订购的产品送到甲方指定的地点（设备须在此期限按要求安装完毕，并能投入正常使用）并经甲方验收合格。否则每延迟一日，按合同价款的千分之五向甲方支付违约金。乙方逾期十日仍不能交货的，甲方有权解除合同，尚未支付的货款不予支付，已经支付的货款乙方须全额返还，同时乙方须按本合同交易总金额的</w:t>
      </w:r>
      <w:r>
        <w:rPr>
          <w:color w:val="000000"/>
          <w:sz w:val="24"/>
        </w:rPr>
        <w:t>20%</w:t>
      </w:r>
      <w:r>
        <w:rPr>
          <w:rFonts w:hint="eastAsia"/>
          <w:color w:val="000000"/>
          <w:sz w:val="24"/>
        </w:rPr>
        <w:t>向甲方承担违约金。</w:t>
      </w:r>
    </w:p>
    <w:p w14:paraId="4C10A16A">
      <w:pPr>
        <w:adjustRightInd w:val="0"/>
        <w:snapToGrid w:val="0"/>
        <w:spacing w:line="440" w:lineRule="exact"/>
        <w:ind w:firstLine="482" w:firstLineChars="200"/>
        <w:rPr>
          <w:rFonts w:asci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六、付款方式</w:t>
      </w:r>
    </w:p>
    <w:p w14:paraId="29128159">
      <w:pPr>
        <w:adjustRightInd w:val="0"/>
        <w:snapToGrid w:val="0"/>
        <w:spacing w:line="440" w:lineRule="exact"/>
        <w:ind w:firstLine="360" w:firstLineChars="15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（一）乙方将全部产品（设备）送达甲方指定地点（设备须安装调试完毕），经甲方代表验收合格，在验收单上签字确认后，甲方向乙方支付合同总金额的</w:t>
      </w:r>
      <w:r>
        <w:rPr>
          <w:rFonts w:ascii="宋体" w:hAnsi="宋体"/>
          <w:color w:val="000000"/>
          <w:sz w:val="24"/>
          <w:u w:val="single"/>
        </w:rPr>
        <w:t xml:space="preserve"> 95 </w:t>
      </w:r>
      <w:r>
        <w:rPr>
          <w:rFonts w:ascii="宋体" w:hAnsi="宋体"/>
          <w:color w:val="000000"/>
          <w:sz w:val="24"/>
        </w:rPr>
        <w:t>%</w:t>
      </w:r>
      <w:r>
        <w:rPr>
          <w:rFonts w:hint="eastAsia" w:ascii="宋体" w:hAnsi="宋体"/>
          <w:color w:val="000000"/>
          <w:sz w:val="24"/>
        </w:rPr>
        <w:t>，质保期满后支付余款（因乙方未能按本合同约定提供售后质保服务，质保金应扣除部分除外）。</w:t>
      </w:r>
    </w:p>
    <w:p w14:paraId="3B32971F">
      <w:pPr>
        <w:widowControl/>
        <w:adjustRightInd w:val="0"/>
        <w:snapToGrid w:val="0"/>
        <w:spacing w:line="440" w:lineRule="exact"/>
        <w:ind w:firstLine="364" w:firstLineChars="152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（四）在甲方支付合同款项前，乙方须向甲方送交合法有效的全额增值税</w:t>
      </w:r>
      <w:r>
        <w:rPr>
          <w:rFonts w:hint="eastAsia" w:ascii="宋体" w:hAnsi="宋体"/>
          <w:b/>
          <w:bCs/>
          <w:color w:val="FF0000"/>
          <w:sz w:val="24"/>
        </w:rPr>
        <w:t>普通</w:t>
      </w:r>
      <w:r>
        <w:rPr>
          <w:rFonts w:hint="eastAsia" w:ascii="宋体" w:hAnsi="宋体"/>
          <w:color w:val="000000"/>
          <w:sz w:val="24"/>
        </w:rPr>
        <w:t>发票。若乙方未按期送交合法有效的全额发票，则甲方付款时间自动顺延，甲方不承担迟延付款的任何责任。</w:t>
      </w:r>
    </w:p>
    <w:p w14:paraId="0A0E450B">
      <w:pPr>
        <w:pStyle w:val="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="602" w:firstLineChars="250"/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七、售后服务</w:t>
      </w:r>
    </w:p>
    <w:p w14:paraId="1AFDCEDD">
      <w:pPr>
        <w:pStyle w:val="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="484" w:firstLineChars="202"/>
        <w:jc w:val="left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、所有物品自验收合格之日起</w:t>
      </w:r>
      <w:r>
        <w:rPr>
          <w:color w:val="000000"/>
          <w:sz w:val="24"/>
          <w:u w:val="single"/>
        </w:rPr>
        <w:t xml:space="preserve">    </w:t>
      </w:r>
      <w:r>
        <w:rPr>
          <w:rFonts w:hint="eastAsia"/>
          <w:color w:val="000000"/>
          <w:sz w:val="24"/>
        </w:rPr>
        <w:t>年为质保期。质保期内产品（设备）出现质量问题，乙方必须无条件免费维修或更换。</w:t>
      </w:r>
    </w:p>
    <w:p w14:paraId="540553D9">
      <w:pPr>
        <w:pStyle w:val="4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484" w:firstLineChars="202"/>
        <w:jc w:val="left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、乙方在质保期内接到甲方维修、换货、技术支持等售后服务需求的电话、短信息或电子邮件通知后，乙方需在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小时内作出售后服务承诺，并在</w:t>
      </w:r>
      <w:r>
        <w:rPr>
          <w:color w:val="000000"/>
          <w:sz w:val="24"/>
        </w:rPr>
        <w:t>24</w:t>
      </w:r>
      <w:r>
        <w:rPr>
          <w:rFonts w:hint="eastAsia"/>
          <w:color w:val="000000"/>
          <w:sz w:val="24"/>
        </w:rPr>
        <w:t>小时内上门服务。</w:t>
      </w:r>
    </w:p>
    <w:p w14:paraId="1AC49278">
      <w:pPr>
        <w:pStyle w:val="4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487" w:firstLineChars="202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（备注：《买卖合同》的其他条款详见届时双方签订的合同）</w:t>
      </w:r>
    </w:p>
    <w:p w14:paraId="0151E6C7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b/>
          <w:color w:val="000000"/>
          <w:sz w:val="28"/>
          <w:szCs w:val="28"/>
        </w:rPr>
      </w:pPr>
    </w:p>
    <w:p w14:paraId="643FE37D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b/>
          <w:color w:val="000000"/>
          <w:sz w:val="28"/>
          <w:szCs w:val="28"/>
        </w:rPr>
      </w:pPr>
    </w:p>
    <w:p w14:paraId="62CEDA42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7D9268AD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5797B466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57672650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28C1D5B9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03554183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2F029284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2C21F24D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45370CFB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3EE5C7B4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63D3596A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4A97D254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1C2D5477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012C600A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3FDB619A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582FE4A0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6D666065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6934BC1A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604AF82C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776C05D0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6B59EE12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3FFF0BCF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345ADCEC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497201E7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58307713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</w:p>
    <w:p w14:paraId="4AC264E0">
      <w:pPr>
        <w:pStyle w:val="4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color w:val="000000"/>
          <w:sz w:val="28"/>
          <w:szCs w:val="28"/>
          <w:lang w:val="zh-CN"/>
        </w:rPr>
        <w:t>附件</w:t>
      </w:r>
      <w:r>
        <w:rPr>
          <w:b/>
          <w:color w:val="000000"/>
          <w:sz w:val="28"/>
          <w:szCs w:val="28"/>
          <w:lang w:val="zh-CN"/>
        </w:rPr>
        <w:t>2</w:t>
      </w:r>
      <w:r>
        <w:rPr>
          <w:rFonts w:hint="eastAsia"/>
          <w:b/>
          <w:color w:val="000000"/>
          <w:sz w:val="28"/>
          <w:szCs w:val="28"/>
          <w:lang w:val="zh-CN"/>
        </w:rPr>
        <w:t>：谈判申请及声明</w:t>
      </w:r>
    </w:p>
    <w:p w14:paraId="7F171D23">
      <w:pPr>
        <w:autoSpaceDE w:val="0"/>
        <w:autoSpaceDN w:val="0"/>
        <w:adjustRightInd w:val="0"/>
        <w:spacing w:line="520" w:lineRule="exact"/>
        <w:rPr>
          <w:rFonts w:ascii="宋体"/>
          <w:color w:val="000000"/>
          <w:sz w:val="28"/>
          <w:szCs w:val="28"/>
          <w:lang w:val="zh-CN"/>
        </w:rPr>
      </w:pPr>
    </w:p>
    <w:p w14:paraId="48B4CE9F">
      <w:pPr>
        <w:autoSpaceDE w:val="0"/>
        <w:autoSpaceDN w:val="0"/>
        <w:adjustRightInd w:val="0"/>
        <w:spacing w:line="520" w:lineRule="exact"/>
        <w:rPr>
          <w:rFonts w:ascii="宋体"/>
          <w:color w:val="000000"/>
          <w:sz w:val="28"/>
          <w:szCs w:val="28"/>
          <w:lang w:val="zh-CN"/>
        </w:rPr>
      </w:pPr>
      <w:r>
        <w:rPr>
          <w:rFonts w:hint="eastAsia" w:ascii="宋体"/>
          <w:color w:val="000000"/>
          <w:sz w:val="28"/>
          <w:szCs w:val="28"/>
          <w:lang w:val="zh-CN"/>
        </w:rPr>
        <w:t>致：</w:t>
      </w:r>
      <w:r>
        <w:rPr>
          <w:rFonts w:ascii="宋体"/>
          <w:color w:val="000000"/>
          <w:sz w:val="28"/>
          <w:szCs w:val="28"/>
          <w:u w:val="single"/>
          <w:lang w:val="zh-CN"/>
        </w:rPr>
        <w:t xml:space="preserve">                         </w:t>
      </w:r>
      <w:r>
        <w:rPr>
          <w:rFonts w:hint="eastAsia" w:ascii="宋体"/>
          <w:color w:val="000000"/>
          <w:sz w:val="28"/>
          <w:szCs w:val="28"/>
          <w:lang w:val="zh-CN"/>
        </w:rPr>
        <w:t>（竞争性谈判人）</w:t>
      </w:r>
    </w:p>
    <w:p w14:paraId="6D2C1BEA">
      <w:pPr>
        <w:autoSpaceDE w:val="0"/>
        <w:autoSpaceDN w:val="0"/>
        <w:adjustRightInd w:val="0"/>
        <w:spacing w:line="520" w:lineRule="exact"/>
        <w:ind w:left="139" w:leftChars="66" w:firstLine="560" w:firstLineChars="200"/>
        <w:rPr>
          <w:rFonts w:ascii="宋体"/>
          <w:color w:val="000000"/>
          <w:sz w:val="28"/>
          <w:szCs w:val="28"/>
          <w:lang w:val="zh-CN"/>
        </w:rPr>
      </w:pPr>
      <w:r>
        <w:rPr>
          <w:rFonts w:hint="eastAsia" w:ascii="宋体"/>
          <w:color w:val="000000"/>
          <w:sz w:val="28"/>
          <w:szCs w:val="28"/>
          <w:lang w:val="zh-CN"/>
        </w:rPr>
        <w:t>根据贵方项目编号</w:t>
      </w:r>
      <w:r>
        <w:rPr>
          <w:rFonts w:ascii="宋体"/>
          <w:color w:val="000000"/>
          <w:sz w:val="28"/>
          <w:szCs w:val="28"/>
          <w:u w:val="single"/>
          <w:lang w:val="zh-CN"/>
        </w:rPr>
        <w:t xml:space="preserve">        </w:t>
      </w:r>
      <w:r>
        <w:rPr>
          <w:rFonts w:hint="eastAsia" w:ascii="宋体"/>
          <w:color w:val="000000"/>
          <w:sz w:val="28"/>
          <w:szCs w:val="28"/>
          <w:lang w:val="zh-CN"/>
        </w:rPr>
        <w:t>的谈判文件，我方正式提交响应性文件正本壹份，副本</w:t>
      </w:r>
      <w:r>
        <w:rPr>
          <w:rFonts w:hint="eastAsia" w:ascii="宋体"/>
          <w:color w:val="000000"/>
          <w:sz w:val="28"/>
          <w:szCs w:val="28"/>
        </w:rPr>
        <w:t>叁</w:t>
      </w:r>
      <w:r>
        <w:rPr>
          <w:rFonts w:hint="eastAsia" w:ascii="宋体"/>
          <w:color w:val="000000"/>
          <w:sz w:val="28"/>
          <w:szCs w:val="28"/>
          <w:lang w:val="zh-CN"/>
        </w:rPr>
        <w:t>份。</w:t>
      </w:r>
    </w:p>
    <w:p w14:paraId="4C4311B8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据此函，签字人兹同意如下：</w:t>
      </w:r>
    </w:p>
    <w:p w14:paraId="76079E3E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我方同意提供贵方可能要求的与本次谈判有关的任何证据或资料。</w:t>
      </w:r>
    </w:p>
    <w:p w14:paraId="577422A4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一旦我方成交，我方承诺将根据谈判文件与贵方签订书面合同，并严格履行合同义务。</w:t>
      </w:r>
    </w:p>
    <w:p w14:paraId="75937D3F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我方指派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（姓名）（身份证号码：</w:t>
      </w:r>
      <w:r>
        <w:rPr>
          <w:rFonts w:ascii="宋体" w:hAnsi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z w:val="28"/>
          <w:szCs w:val="28"/>
        </w:rPr>
        <w:t>）为我方全权代表，代表我方参加贵方本次项目的竞争性谈判活动，负责处理与本次竞争性谈判相关的一切事宜。</w:t>
      </w:r>
    </w:p>
    <w:p w14:paraId="73394EBF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</w:rPr>
        <w:t>我方决不提供虚假材料谋取成交，决不采取不正当手段诋毁、排挤其他竞价人，决不与竞争性谈判人、其它竞价人恶意串通，决不向竞争性谈判人及谈判小组进行商业贿赂。如有违反，我方无条件同意贵方不退还我方已交纳的竞争性谈判保证金，赔偿竞争性谈判人因此遭受的全部损失</w:t>
      </w:r>
      <w:r>
        <w:rPr>
          <w:rFonts w:hint="eastAsia" w:ascii="宋体" w:hAnsi="宋体"/>
          <w:sz w:val="28"/>
          <w:szCs w:val="28"/>
        </w:rPr>
        <w:t>，并接受相关管理部门的处罚。</w:t>
      </w:r>
    </w:p>
    <w:p w14:paraId="24AC43A1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asci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与本申请有关的正式通讯地址为：</w:t>
      </w:r>
    </w:p>
    <w:p w14:paraId="718BA72A">
      <w:pPr>
        <w:spacing w:line="520" w:lineRule="exact"/>
        <w:ind w:firstLine="560" w:firstLineChars="200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地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址：</w:t>
      </w:r>
      <w:r>
        <w:rPr>
          <w:rFonts w:ascii="宋体" w:hAnsi="宋体"/>
          <w:sz w:val="28"/>
          <w:szCs w:val="28"/>
          <w:u w:val="single"/>
        </w:rPr>
        <w:t xml:space="preserve">                       </w:t>
      </w:r>
    </w:p>
    <w:p w14:paraId="748C2E9A">
      <w:pPr>
        <w:spacing w:line="520" w:lineRule="exact"/>
        <w:ind w:firstLine="560" w:firstLineChars="200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电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话：</w:t>
      </w:r>
      <w:r>
        <w:rPr>
          <w:rFonts w:ascii="宋体" w:hAnsi="宋体"/>
          <w:sz w:val="28"/>
          <w:szCs w:val="28"/>
          <w:u w:val="single"/>
        </w:rPr>
        <w:t xml:space="preserve">                       </w:t>
      </w:r>
    </w:p>
    <w:p w14:paraId="29D633CE">
      <w:pPr>
        <w:spacing w:line="520" w:lineRule="exact"/>
        <w:ind w:firstLine="560" w:firstLineChars="200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传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真：</w:t>
      </w:r>
      <w:r>
        <w:rPr>
          <w:rFonts w:ascii="宋体" w:hAnsi="宋体"/>
          <w:sz w:val="28"/>
          <w:szCs w:val="28"/>
          <w:u w:val="single"/>
        </w:rPr>
        <w:t xml:space="preserve">                       </w:t>
      </w:r>
    </w:p>
    <w:p w14:paraId="4F08CFEA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电子邮箱：</w:t>
      </w:r>
      <w:r>
        <w:rPr>
          <w:rFonts w:ascii="宋体" w:hAnsi="宋体"/>
          <w:sz w:val="28"/>
          <w:szCs w:val="28"/>
          <w:u w:val="single"/>
        </w:rPr>
        <w:t xml:space="preserve">                      </w:t>
      </w:r>
    </w:p>
    <w:p w14:paraId="3F4F940A">
      <w:pPr>
        <w:spacing w:line="520" w:lineRule="exact"/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法定代表人（签字）：</w:t>
      </w:r>
      <w:r>
        <w:rPr>
          <w:rFonts w:ascii="宋体" w:hAnsi="宋体"/>
          <w:sz w:val="28"/>
          <w:szCs w:val="28"/>
          <w:u w:val="single"/>
        </w:rPr>
        <w:t xml:space="preserve">           </w:t>
      </w:r>
    </w:p>
    <w:p w14:paraId="714530CC"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竞价人（盖章）：</w:t>
      </w:r>
      <w:r>
        <w:rPr>
          <w:rFonts w:ascii="宋体" w:hAnsi="宋体"/>
          <w:sz w:val="28"/>
          <w:szCs w:val="28"/>
          <w:u w:val="single"/>
        </w:rPr>
        <w:t xml:space="preserve">            </w:t>
      </w:r>
    </w:p>
    <w:p w14:paraId="5A456B37">
      <w:pPr>
        <w:pStyle w:val="4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期：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778A434A">
      <w:pPr>
        <w:pStyle w:val="4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b/>
          <w:color w:val="000000"/>
          <w:sz w:val="28"/>
          <w:szCs w:val="28"/>
        </w:rPr>
      </w:pPr>
    </w:p>
    <w:p w14:paraId="1C5F6BBF">
      <w:pPr>
        <w:pStyle w:val="4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b/>
          <w:color w:val="000000"/>
          <w:sz w:val="28"/>
          <w:szCs w:val="28"/>
        </w:rPr>
      </w:pPr>
    </w:p>
    <w:p w14:paraId="32152342">
      <w:pPr>
        <w:pStyle w:val="4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b/>
          <w:color w:val="000000"/>
          <w:sz w:val="28"/>
          <w:szCs w:val="28"/>
        </w:rPr>
      </w:pPr>
    </w:p>
    <w:p w14:paraId="6B41404F">
      <w:pPr>
        <w:pStyle w:val="4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b/>
          <w:color w:val="000000"/>
          <w:sz w:val="28"/>
          <w:szCs w:val="28"/>
        </w:rPr>
      </w:pPr>
    </w:p>
    <w:p w14:paraId="4859C4EB">
      <w:pPr>
        <w:pStyle w:val="4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</w:t>
      </w:r>
      <w:r>
        <w:rPr>
          <w:b/>
          <w:color w:val="000000"/>
          <w:sz w:val="28"/>
          <w:szCs w:val="28"/>
        </w:rPr>
        <w:t>3</w:t>
      </w:r>
      <w:r>
        <w:rPr>
          <w:rFonts w:hint="eastAsia"/>
          <w:b/>
          <w:color w:val="000000"/>
          <w:sz w:val="28"/>
          <w:szCs w:val="28"/>
        </w:rPr>
        <w:t>：法定代表人授权委托书</w:t>
      </w:r>
    </w:p>
    <w:p w14:paraId="5EC073D7">
      <w:pPr>
        <w:pStyle w:val="5"/>
        <w:adjustRightInd w:val="0"/>
        <w:snapToGrid w:val="0"/>
        <w:spacing w:line="300" w:lineRule="auto"/>
        <w:jc w:val="center"/>
        <w:rPr>
          <w:rFonts w:hAnsi="宋体"/>
          <w:b/>
          <w:sz w:val="28"/>
          <w:szCs w:val="28"/>
        </w:rPr>
      </w:pPr>
    </w:p>
    <w:p w14:paraId="023432BE">
      <w:pPr>
        <w:pStyle w:val="5"/>
        <w:adjustRightInd w:val="0"/>
        <w:snapToGrid w:val="0"/>
        <w:spacing w:line="300" w:lineRule="auto"/>
        <w:jc w:val="center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法定代表人授权委托书</w:t>
      </w:r>
    </w:p>
    <w:p w14:paraId="0A8133C6">
      <w:pPr>
        <w:pStyle w:val="5"/>
        <w:adjustRightInd w:val="0"/>
        <w:snapToGrid w:val="0"/>
        <w:spacing w:line="300" w:lineRule="auto"/>
        <w:jc w:val="center"/>
        <w:rPr>
          <w:rFonts w:hAnsi="宋体"/>
          <w:b/>
          <w:sz w:val="28"/>
          <w:szCs w:val="28"/>
        </w:rPr>
      </w:pPr>
    </w:p>
    <w:p w14:paraId="2D52B628">
      <w:pPr>
        <w:pStyle w:val="5"/>
        <w:adjustRightInd w:val="0"/>
        <w:snapToGrid w:val="0"/>
        <w:spacing w:line="300" w:lineRule="auto"/>
        <w:ind w:firstLine="560" w:firstLineChars="200"/>
        <w:jc w:val="both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本授权委托书声明：我</w:t>
      </w:r>
      <w:r>
        <w:rPr>
          <w:rFonts w:hAnsi="宋体"/>
          <w:sz w:val="28"/>
          <w:szCs w:val="28"/>
          <w:u w:val="single"/>
        </w:rPr>
        <w:t xml:space="preserve">        </w:t>
      </w:r>
      <w:r>
        <w:rPr>
          <w:rFonts w:hAnsi="宋体"/>
          <w:sz w:val="28"/>
          <w:szCs w:val="28"/>
        </w:rPr>
        <w:t xml:space="preserve"> (</w:t>
      </w:r>
      <w:r>
        <w:rPr>
          <w:rFonts w:hint="eastAsia" w:hAnsi="宋体"/>
          <w:sz w:val="28"/>
          <w:szCs w:val="28"/>
        </w:rPr>
        <w:t>姓名</w:t>
      </w:r>
      <w:r>
        <w:rPr>
          <w:rFonts w:hAnsi="宋体"/>
          <w:sz w:val="28"/>
          <w:szCs w:val="28"/>
        </w:rPr>
        <w:t>)</w:t>
      </w:r>
      <w:r>
        <w:rPr>
          <w:rFonts w:hint="eastAsia" w:hAnsi="宋体"/>
          <w:sz w:val="28"/>
          <w:szCs w:val="28"/>
        </w:rPr>
        <w:t>（身份证号码：</w:t>
      </w:r>
      <w:r>
        <w:rPr>
          <w:rFonts w:hAnsi="宋体"/>
          <w:sz w:val="28"/>
          <w:szCs w:val="28"/>
          <w:u w:val="single"/>
        </w:rPr>
        <w:t xml:space="preserve">                 </w:t>
      </w:r>
      <w:r>
        <w:rPr>
          <w:rFonts w:hint="eastAsia" w:hAnsi="宋体"/>
          <w:sz w:val="28"/>
          <w:szCs w:val="28"/>
        </w:rPr>
        <w:t>）系</w:t>
      </w:r>
    </w:p>
    <w:p w14:paraId="0A6EB54C">
      <w:pPr>
        <w:pStyle w:val="5"/>
        <w:adjustRightInd w:val="0"/>
        <w:snapToGrid w:val="0"/>
        <w:spacing w:line="300" w:lineRule="auto"/>
        <w:jc w:val="both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  <w:u w:val="single"/>
        </w:rPr>
        <w:t xml:space="preserve">               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竞价人名称</w:t>
      </w:r>
      <w:r>
        <w:rPr>
          <w:rFonts w:hAnsi="宋体"/>
          <w:sz w:val="28"/>
          <w:szCs w:val="28"/>
        </w:rPr>
        <w:t>)</w:t>
      </w:r>
      <w:r>
        <w:rPr>
          <w:rFonts w:hint="eastAsia" w:hAnsi="宋体"/>
          <w:sz w:val="28"/>
          <w:szCs w:val="28"/>
        </w:rPr>
        <w:t>的法定代表人，现授权委托</w:t>
      </w:r>
      <w:r>
        <w:rPr>
          <w:rFonts w:hAnsi="宋体"/>
          <w:sz w:val="28"/>
          <w:szCs w:val="28"/>
        </w:rPr>
        <w:t xml:space="preserve"> </w:t>
      </w:r>
      <w:r>
        <w:rPr>
          <w:rFonts w:hAnsi="宋体"/>
          <w:sz w:val="28"/>
          <w:szCs w:val="28"/>
          <w:u w:val="single"/>
        </w:rPr>
        <w:t xml:space="preserve">          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姓名</w:t>
      </w:r>
      <w:r>
        <w:rPr>
          <w:rFonts w:hAnsi="宋体"/>
          <w:sz w:val="28"/>
          <w:szCs w:val="28"/>
        </w:rPr>
        <w:t>)</w:t>
      </w:r>
      <w:r>
        <w:rPr>
          <w:rFonts w:hint="eastAsia" w:hAnsi="宋体"/>
          <w:sz w:val="28"/>
          <w:szCs w:val="28"/>
        </w:rPr>
        <w:t>（身份证号码：</w:t>
      </w:r>
      <w:r>
        <w:rPr>
          <w:rFonts w:hAnsi="宋体"/>
          <w:sz w:val="28"/>
          <w:szCs w:val="28"/>
          <w:u w:val="single"/>
        </w:rPr>
        <w:t xml:space="preserve">                     </w:t>
      </w:r>
      <w:r>
        <w:rPr>
          <w:rFonts w:hint="eastAsia" w:hAnsi="宋体"/>
          <w:sz w:val="28"/>
          <w:szCs w:val="28"/>
        </w:rPr>
        <w:t>）为我公司代理人，参加</w:t>
      </w:r>
      <w:r>
        <w:rPr>
          <w:rFonts w:hAnsi="宋体"/>
          <w:sz w:val="28"/>
          <w:szCs w:val="28"/>
          <w:u w:val="single"/>
        </w:rPr>
        <w:t xml:space="preserve">          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竞争性谈判人</w:t>
      </w:r>
      <w:r>
        <w:rPr>
          <w:rFonts w:hAnsi="宋体"/>
          <w:sz w:val="28"/>
          <w:szCs w:val="28"/>
        </w:rPr>
        <w:t>)</w:t>
      </w:r>
      <w:r>
        <w:rPr>
          <w:rFonts w:hint="eastAsia" w:hAnsi="宋体"/>
          <w:sz w:val="28"/>
          <w:szCs w:val="28"/>
        </w:rPr>
        <w:t>的</w:t>
      </w:r>
      <w:r>
        <w:rPr>
          <w:rFonts w:hAnsi="宋体"/>
          <w:sz w:val="28"/>
          <w:szCs w:val="28"/>
          <w:u w:val="single"/>
        </w:rPr>
        <w:t xml:space="preserve">                    </w:t>
      </w:r>
      <w:r>
        <w:rPr>
          <w:rFonts w:hint="eastAsia" w:hAnsi="宋体"/>
          <w:sz w:val="28"/>
          <w:szCs w:val="28"/>
        </w:rPr>
        <w:t>竞争性谈判活动。代理人在谈判、合同签订过程中所签署的一切文件和处理与之有关的一切事务，我本人及我单位均予以承认并承担与之相关的一切法律后果。</w:t>
      </w:r>
    </w:p>
    <w:p w14:paraId="24A71E2D">
      <w:pPr>
        <w:pStyle w:val="5"/>
        <w:adjustRightInd w:val="0"/>
        <w:snapToGrid w:val="0"/>
        <w:spacing w:line="300" w:lineRule="auto"/>
        <w:rPr>
          <w:rFonts w:hAnsi="宋体"/>
          <w:sz w:val="28"/>
          <w:szCs w:val="28"/>
        </w:rPr>
      </w:pPr>
    </w:p>
    <w:p w14:paraId="767410F6">
      <w:pPr>
        <w:pStyle w:val="5"/>
        <w:adjustRightInd w:val="0"/>
        <w:snapToGrid w:val="0"/>
        <w:spacing w:line="300" w:lineRule="auto"/>
        <w:ind w:left="412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代理人无转委权。特此委托。</w:t>
      </w:r>
    </w:p>
    <w:p w14:paraId="2B573CE8">
      <w:pPr>
        <w:pStyle w:val="5"/>
        <w:adjustRightInd w:val="0"/>
        <w:snapToGrid w:val="0"/>
        <w:spacing w:line="300" w:lineRule="auto"/>
        <w:ind w:left="412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代理人：</w:t>
      </w:r>
      <w:r>
        <w:rPr>
          <w:rFonts w:hAnsi="宋体"/>
          <w:sz w:val="28"/>
          <w:szCs w:val="28"/>
        </w:rPr>
        <w:t xml:space="preserve">             </w:t>
      </w:r>
      <w:r>
        <w:rPr>
          <w:rFonts w:hint="eastAsia" w:hAnsi="宋体"/>
          <w:sz w:val="28"/>
          <w:szCs w:val="28"/>
        </w:rPr>
        <w:t>性别：</w:t>
      </w:r>
      <w:r>
        <w:rPr>
          <w:rFonts w:hAnsi="宋体"/>
          <w:sz w:val="28"/>
          <w:szCs w:val="28"/>
        </w:rPr>
        <w:t xml:space="preserve">                 </w:t>
      </w:r>
      <w:r>
        <w:rPr>
          <w:rFonts w:hint="eastAsia" w:hAnsi="宋体"/>
          <w:sz w:val="28"/>
          <w:szCs w:val="28"/>
        </w:rPr>
        <w:t>年龄：</w:t>
      </w:r>
    </w:p>
    <w:p w14:paraId="12B0B9AB">
      <w:pPr>
        <w:pStyle w:val="5"/>
        <w:adjustRightInd w:val="0"/>
        <w:snapToGrid w:val="0"/>
        <w:spacing w:line="300" w:lineRule="auto"/>
        <w:ind w:firstLine="42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单位：</w:t>
      </w:r>
      <w:r>
        <w:rPr>
          <w:rFonts w:hAnsi="宋体"/>
          <w:sz w:val="28"/>
          <w:szCs w:val="28"/>
        </w:rPr>
        <w:t xml:space="preserve">               </w:t>
      </w:r>
      <w:r>
        <w:rPr>
          <w:rFonts w:hint="eastAsia" w:hAnsi="宋体"/>
          <w:sz w:val="28"/>
          <w:szCs w:val="28"/>
        </w:rPr>
        <w:t>部门：</w:t>
      </w:r>
      <w:r>
        <w:rPr>
          <w:rFonts w:hAnsi="宋体"/>
          <w:sz w:val="28"/>
          <w:szCs w:val="28"/>
        </w:rPr>
        <w:t xml:space="preserve">                 </w:t>
      </w:r>
      <w:r>
        <w:rPr>
          <w:rFonts w:hint="eastAsia" w:hAnsi="宋体"/>
          <w:sz w:val="28"/>
          <w:szCs w:val="28"/>
        </w:rPr>
        <w:t>职务：</w:t>
      </w:r>
    </w:p>
    <w:p w14:paraId="04F38F73">
      <w:pPr>
        <w:pStyle w:val="5"/>
        <w:adjustRightInd w:val="0"/>
        <w:snapToGrid w:val="0"/>
        <w:spacing w:line="300" w:lineRule="auto"/>
        <w:ind w:firstLine="42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竞价人：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盖章</w:t>
      </w:r>
      <w:r>
        <w:rPr>
          <w:rFonts w:hAnsi="宋体"/>
          <w:sz w:val="28"/>
          <w:szCs w:val="28"/>
        </w:rPr>
        <w:t>)</w:t>
      </w:r>
    </w:p>
    <w:p w14:paraId="71FA4876">
      <w:pPr>
        <w:pStyle w:val="5"/>
        <w:adjustRightInd w:val="0"/>
        <w:snapToGrid w:val="0"/>
        <w:spacing w:line="300" w:lineRule="auto"/>
        <w:ind w:firstLine="42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法定代表人：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签字或盖章</w:t>
      </w:r>
      <w:r>
        <w:rPr>
          <w:rFonts w:hAnsi="宋体"/>
          <w:sz w:val="28"/>
          <w:szCs w:val="28"/>
        </w:rPr>
        <w:t>)</w:t>
      </w:r>
    </w:p>
    <w:p w14:paraId="780DCFF6">
      <w:pPr>
        <w:pStyle w:val="5"/>
        <w:adjustRightInd w:val="0"/>
        <w:snapToGrid w:val="0"/>
        <w:spacing w:line="300" w:lineRule="auto"/>
        <w:rPr>
          <w:rFonts w:hAnsi="宋体"/>
          <w:sz w:val="28"/>
          <w:szCs w:val="28"/>
        </w:rPr>
      </w:pPr>
    </w:p>
    <w:p w14:paraId="2D469CF7">
      <w:pPr>
        <w:pStyle w:val="5"/>
        <w:adjustRightInd w:val="0"/>
        <w:snapToGrid w:val="0"/>
        <w:spacing w:line="300" w:lineRule="auto"/>
        <w:jc w:val="right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日期：</w:t>
      </w:r>
      <w:r>
        <w:rPr>
          <w:rFonts w:hAnsi="宋体"/>
          <w:sz w:val="28"/>
          <w:szCs w:val="28"/>
          <w:u w:val="single"/>
        </w:rPr>
        <w:t xml:space="preserve">      </w:t>
      </w:r>
      <w:r>
        <w:rPr>
          <w:rFonts w:hint="eastAsia" w:hAnsi="宋体"/>
          <w:sz w:val="28"/>
          <w:szCs w:val="28"/>
        </w:rPr>
        <w:t>年</w:t>
      </w:r>
      <w:r>
        <w:rPr>
          <w:rFonts w:hAnsi="宋体"/>
          <w:sz w:val="28"/>
          <w:szCs w:val="28"/>
          <w:u w:val="single"/>
        </w:rPr>
        <w:t xml:space="preserve">    </w:t>
      </w:r>
      <w:r>
        <w:rPr>
          <w:rFonts w:hint="eastAsia" w:hAnsi="宋体"/>
          <w:sz w:val="28"/>
          <w:szCs w:val="28"/>
        </w:rPr>
        <w:t>月</w:t>
      </w:r>
      <w:r>
        <w:rPr>
          <w:rFonts w:hAnsi="宋体"/>
          <w:sz w:val="28"/>
          <w:szCs w:val="28"/>
          <w:u w:val="single"/>
        </w:rPr>
        <w:t xml:space="preserve">    </w:t>
      </w:r>
      <w:r>
        <w:rPr>
          <w:rFonts w:hint="eastAsia" w:hAnsi="宋体"/>
          <w:sz w:val="28"/>
          <w:szCs w:val="28"/>
        </w:rPr>
        <w:t>日</w:t>
      </w:r>
    </w:p>
    <w:p w14:paraId="78631DE1">
      <w:pPr>
        <w:rPr>
          <w:rFonts w:ascii="黑体" w:hAnsi="宋体" w:eastAsia="黑体"/>
          <w:sz w:val="28"/>
          <w:szCs w:val="28"/>
        </w:rPr>
      </w:pPr>
    </w:p>
    <w:p w14:paraId="2FBA9F64">
      <w:pPr>
        <w:jc w:val="center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（粘贴双方身份证复印件）</w:t>
      </w:r>
    </w:p>
    <w:sectPr>
      <w:headerReference r:id="rId3" w:type="default"/>
      <w:footerReference r:id="rId4" w:type="default"/>
      <w:footerReference r:id="rId5" w:type="even"/>
      <w:pgSz w:w="11906" w:h="16838"/>
      <w:pgMar w:top="567" w:right="851" w:bottom="663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19D42"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12</w:t>
    </w:r>
    <w:r>
      <w:fldChar w:fldCharType="end"/>
    </w:r>
  </w:p>
  <w:p w14:paraId="2AE95138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9BB7C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2CAEF51D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24707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ODUyNjNkNDczY2NkNWRkMWQyZjc1ZTBkNjZmZmUifQ=="/>
  </w:docVars>
  <w:rsids>
    <w:rsidRoot w:val="00172A27"/>
    <w:rsid w:val="00000AA8"/>
    <w:rsid w:val="00022E74"/>
    <w:rsid w:val="000D214B"/>
    <w:rsid w:val="001100DA"/>
    <w:rsid w:val="0015244C"/>
    <w:rsid w:val="00172A27"/>
    <w:rsid w:val="00187F89"/>
    <w:rsid w:val="001D5E17"/>
    <w:rsid w:val="001E029A"/>
    <w:rsid w:val="00230624"/>
    <w:rsid w:val="002420EB"/>
    <w:rsid w:val="0026015C"/>
    <w:rsid w:val="002E533A"/>
    <w:rsid w:val="0039199A"/>
    <w:rsid w:val="00472D78"/>
    <w:rsid w:val="005168DA"/>
    <w:rsid w:val="005E5D5F"/>
    <w:rsid w:val="0075671E"/>
    <w:rsid w:val="007D435E"/>
    <w:rsid w:val="00852739"/>
    <w:rsid w:val="0085612A"/>
    <w:rsid w:val="0087375E"/>
    <w:rsid w:val="008B429B"/>
    <w:rsid w:val="0091124D"/>
    <w:rsid w:val="009542B6"/>
    <w:rsid w:val="00A00673"/>
    <w:rsid w:val="00A75916"/>
    <w:rsid w:val="00A76696"/>
    <w:rsid w:val="00B011E6"/>
    <w:rsid w:val="00B670E7"/>
    <w:rsid w:val="00C14B36"/>
    <w:rsid w:val="00CF1EBA"/>
    <w:rsid w:val="00DE01A9"/>
    <w:rsid w:val="00E27BA1"/>
    <w:rsid w:val="00F127C1"/>
    <w:rsid w:val="00F8310A"/>
    <w:rsid w:val="00F9246C"/>
    <w:rsid w:val="00FC1BF0"/>
    <w:rsid w:val="18D85D59"/>
    <w:rsid w:val="2B086A73"/>
    <w:rsid w:val="2BA81128"/>
    <w:rsid w:val="2DCF1479"/>
    <w:rsid w:val="31426D6B"/>
    <w:rsid w:val="34FF745B"/>
    <w:rsid w:val="3A26548A"/>
    <w:rsid w:val="42730B16"/>
    <w:rsid w:val="48986993"/>
    <w:rsid w:val="5A845A25"/>
    <w:rsid w:val="5A96253D"/>
    <w:rsid w:val="5ABD1D88"/>
    <w:rsid w:val="5DE82BFF"/>
    <w:rsid w:val="5FB16FA3"/>
    <w:rsid w:val="6098238E"/>
    <w:rsid w:val="6194148F"/>
    <w:rsid w:val="645528EE"/>
    <w:rsid w:val="66C67529"/>
    <w:rsid w:val="67395F4D"/>
    <w:rsid w:val="69385059"/>
    <w:rsid w:val="694A536C"/>
    <w:rsid w:val="6A2509A3"/>
    <w:rsid w:val="734B3290"/>
    <w:rsid w:val="763D575F"/>
    <w:rsid w:val="777D549B"/>
    <w:rsid w:val="7B016683"/>
    <w:rsid w:val="7B0F1047"/>
    <w:rsid w:val="7CB1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23"/>
    <w:qFormat/>
    <w:uiPriority w:val="0"/>
    <w:pPr>
      <w:widowControl/>
      <w:spacing w:before="100" w:beforeAutospacing="1" w:after="100" w:afterAutospacing="1"/>
      <w:jc w:val="left"/>
      <w:outlineLvl w:val="0"/>
    </w:pPr>
    <w:rPr>
      <w:b/>
      <w:kern w:val="44"/>
      <w:sz w:val="4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autoRedefine/>
    <w:qFormat/>
    <w:uiPriority w:val="0"/>
    <w:pPr>
      <w:jc w:val="left"/>
    </w:pPr>
    <w:rPr>
      <w:sz w:val="24"/>
    </w:rPr>
  </w:style>
  <w:style w:type="paragraph" w:styleId="4">
    <w:name w:val="Body Text"/>
    <w:basedOn w:val="1"/>
    <w:next w:val="1"/>
    <w:unhideWhenUsed/>
    <w:qFormat/>
    <w:uiPriority w:val="0"/>
    <w:pPr>
      <w:spacing w:after="120" w:line="240" w:lineRule="auto"/>
    </w:pPr>
    <w:rPr>
      <w:rFonts w:ascii="Times New Roman" w:hAnsi="Times New Roman"/>
      <w:sz w:val="21"/>
      <w:szCs w:val="22"/>
    </w:rPr>
  </w:style>
  <w:style w:type="paragraph" w:styleId="5">
    <w:name w:val="Plain Text"/>
    <w:basedOn w:val="1"/>
    <w:link w:val="25"/>
    <w:autoRedefine/>
    <w:qFormat/>
    <w:uiPriority w:val="0"/>
    <w:pPr>
      <w:jc w:val="left"/>
    </w:pPr>
    <w:rPr>
      <w:rFonts w:ascii="Calibri" w:hAnsi="Courier New"/>
    </w:rPr>
  </w:style>
  <w:style w:type="paragraph" w:styleId="6">
    <w:name w:val="Date"/>
    <w:basedOn w:val="1"/>
    <w:next w:val="1"/>
    <w:link w:val="26"/>
    <w:autoRedefine/>
    <w:qFormat/>
    <w:uiPriority w:val="0"/>
    <w:rPr>
      <w:sz w:val="28"/>
    </w:rPr>
  </w:style>
  <w:style w:type="paragraph" w:styleId="7">
    <w:name w:val="Body Text Indent 2"/>
    <w:basedOn w:val="1"/>
    <w:link w:val="27"/>
    <w:autoRedefine/>
    <w:qFormat/>
    <w:uiPriority w:val="0"/>
    <w:pPr>
      <w:ind w:firstLine="592" w:firstLineChars="200"/>
    </w:pPr>
    <w:rPr>
      <w:rFonts w:eastAsia="仿宋_GB2312"/>
      <w:sz w:val="24"/>
    </w:rPr>
  </w:style>
  <w:style w:type="paragraph" w:styleId="8">
    <w:name w:val="Balloon Text"/>
    <w:basedOn w:val="1"/>
    <w:link w:val="28"/>
    <w:autoRedefine/>
    <w:qFormat/>
    <w:uiPriority w:val="0"/>
    <w:rPr>
      <w:sz w:val="18"/>
    </w:rPr>
  </w:style>
  <w:style w:type="paragraph" w:styleId="9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3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Body Text Indent 3"/>
    <w:basedOn w:val="1"/>
    <w:link w:val="31"/>
    <w:autoRedefine/>
    <w:qFormat/>
    <w:uiPriority w:val="0"/>
    <w:pPr>
      <w:spacing w:line="460" w:lineRule="exact"/>
      <w:ind w:firstLine="472" w:firstLineChars="200"/>
    </w:pPr>
    <w:rPr>
      <w:rFonts w:eastAsia="仿宋_GB2312"/>
      <w:sz w:val="24"/>
    </w:rPr>
  </w:style>
  <w:style w:type="paragraph" w:styleId="12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</w:rPr>
  </w:style>
  <w:style w:type="paragraph" w:styleId="13">
    <w:name w:val="Normal (Web)"/>
    <w:basedOn w:val="1"/>
    <w:autoRedefine/>
    <w:qFormat/>
    <w:uiPriority w:val="0"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next w:val="1"/>
    <w:link w:val="33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15">
    <w:name w:val="annotation subject"/>
    <w:basedOn w:val="3"/>
    <w:next w:val="3"/>
    <w:link w:val="34"/>
    <w:qFormat/>
    <w:uiPriority w:val="0"/>
    <w:rPr>
      <w:b/>
    </w:rPr>
  </w:style>
  <w:style w:type="table" w:styleId="17">
    <w:name w:val="Table Grid"/>
    <w:basedOn w:val="1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autoRedefine/>
    <w:qFormat/>
    <w:uiPriority w:val="0"/>
    <w:rPr>
      <w:b/>
    </w:rPr>
  </w:style>
  <w:style w:type="character" w:styleId="20">
    <w:name w:val="page number"/>
    <w:qFormat/>
    <w:uiPriority w:val="0"/>
    <w:rPr>
      <w:rFonts w:cs="Times New Roman"/>
    </w:rPr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annotation reference"/>
    <w:autoRedefine/>
    <w:qFormat/>
    <w:uiPriority w:val="0"/>
    <w:rPr>
      <w:sz w:val="21"/>
    </w:rPr>
  </w:style>
  <w:style w:type="character" w:customStyle="1" w:styleId="23">
    <w:name w:val="标题 1 Char"/>
    <w:link w:val="2"/>
    <w:qFormat/>
    <w:uiPriority w:val="0"/>
    <w:rPr>
      <w:b/>
      <w:kern w:val="44"/>
      <w:sz w:val="44"/>
    </w:rPr>
  </w:style>
  <w:style w:type="character" w:customStyle="1" w:styleId="24">
    <w:name w:val="批注文字 Char"/>
    <w:link w:val="3"/>
    <w:autoRedefine/>
    <w:qFormat/>
    <w:uiPriority w:val="0"/>
    <w:rPr>
      <w:kern w:val="2"/>
      <w:sz w:val="24"/>
    </w:rPr>
  </w:style>
  <w:style w:type="character" w:customStyle="1" w:styleId="25">
    <w:name w:val="纯文本 Char"/>
    <w:link w:val="5"/>
    <w:qFormat/>
    <w:uiPriority w:val="0"/>
    <w:rPr>
      <w:rFonts w:ascii="Calibri" w:hAnsi="Courier New"/>
      <w:sz w:val="21"/>
    </w:rPr>
  </w:style>
  <w:style w:type="character" w:customStyle="1" w:styleId="26">
    <w:name w:val="日期 Char"/>
    <w:link w:val="6"/>
    <w:qFormat/>
    <w:uiPriority w:val="0"/>
    <w:rPr>
      <w:rFonts w:ascii="Times New Roman" w:hAnsi="Times New Roman"/>
      <w:kern w:val="2"/>
      <w:sz w:val="28"/>
    </w:rPr>
  </w:style>
  <w:style w:type="character" w:customStyle="1" w:styleId="27">
    <w:name w:val="正文文本缩进 2 Char"/>
    <w:link w:val="7"/>
    <w:qFormat/>
    <w:uiPriority w:val="0"/>
    <w:rPr>
      <w:rFonts w:ascii="Times New Roman" w:hAnsi="Times New Roman" w:eastAsia="仿宋_GB2312"/>
      <w:kern w:val="2"/>
      <w:sz w:val="24"/>
    </w:rPr>
  </w:style>
  <w:style w:type="character" w:customStyle="1" w:styleId="28">
    <w:name w:val="批注框文本 Char"/>
    <w:link w:val="8"/>
    <w:qFormat/>
    <w:uiPriority w:val="0"/>
    <w:rPr>
      <w:kern w:val="2"/>
      <w:sz w:val="18"/>
    </w:rPr>
  </w:style>
  <w:style w:type="character" w:customStyle="1" w:styleId="29">
    <w:name w:val="页脚 Char"/>
    <w:link w:val="9"/>
    <w:qFormat/>
    <w:uiPriority w:val="0"/>
    <w:rPr>
      <w:sz w:val="18"/>
    </w:rPr>
  </w:style>
  <w:style w:type="character" w:customStyle="1" w:styleId="30">
    <w:name w:val="页眉 Char"/>
    <w:link w:val="10"/>
    <w:autoRedefine/>
    <w:qFormat/>
    <w:uiPriority w:val="0"/>
    <w:rPr>
      <w:sz w:val="18"/>
    </w:rPr>
  </w:style>
  <w:style w:type="character" w:customStyle="1" w:styleId="31">
    <w:name w:val="正文文本缩进 3 Char"/>
    <w:link w:val="11"/>
    <w:qFormat/>
    <w:uiPriority w:val="0"/>
    <w:rPr>
      <w:rFonts w:ascii="Times New Roman" w:hAnsi="Times New Roman" w:eastAsia="仿宋_GB2312"/>
      <w:kern w:val="2"/>
      <w:sz w:val="24"/>
    </w:rPr>
  </w:style>
  <w:style w:type="character" w:customStyle="1" w:styleId="32">
    <w:name w:val="HTML 预设格式 Char"/>
    <w:link w:val="12"/>
    <w:qFormat/>
    <w:uiPriority w:val="0"/>
    <w:rPr>
      <w:rFonts w:ascii="Courier New" w:hAnsi="Courier New"/>
      <w:kern w:val="2"/>
    </w:rPr>
  </w:style>
  <w:style w:type="character" w:customStyle="1" w:styleId="33">
    <w:name w:val="标题 Char"/>
    <w:link w:val="14"/>
    <w:qFormat/>
    <w:uiPriority w:val="0"/>
    <w:rPr>
      <w:rFonts w:ascii="Cambria" w:hAnsi="Cambria"/>
      <w:b/>
      <w:kern w:val="2"/>
      <w:sz w:val="32"/>
    </w:rPr>
  </w:style>
  <w:style w:type="character" w:customStyle="1" w:styleId="34">
    <w:name w:val="批注主题 Char"/>
    <w:link w:val="15"/>
    <w:qFormat/>
    <w:uiPriority w:val="0"/>
    <w:rPr>
      <w:b/>
      <w:kern w:val="2"/>
      <w:sz w:val="24"/>
    </w:rPr>
  </w:style>
  <w:style w:type="character" w:customStyle="1" w:styleId="35">
    <w:name w:val="apple-style-span"/>
    <w:qFormat/>
    <w:uiPriority w:val="0"/>
  </w:style>
  <w:style w:type="character" w:customStyle="1" w:styleId="36">
    <w:name w:val="text11"/>
    <w:qFormat/>
    <w:uiPriority w:val="0"/>
    <w:rPr>
      <w:rFonts w:ascii="Verdana" w:hAnsi="Verdana"/>
      <w:color w:val="4E4E4E"/>
      <w:sz w:val="18"/>
    </w:rPr>
  </w:style>
  <w:style w:type="character" w:customStyle="1" w:styleId="37">
    <w:name w:val="font31"/>
    <w:qFormat/>
    <w:uiPriority w:val="0"/>
    <w:rPr>
      <w:rFonts w:ascii="宋体" w:hAnsi="宋体" w:eastAsia="宋体"/>
      <w:color w:val="FF0000"/>
      <w:sz w:val="20"/>
      <w:u w:val="none"/>
    </w:rPr>
  </w:style>
  <w:style w:type="character" w:customStyle="1" w:styleId="38">
    <w:name w:val="Header Char2"/>
    <w:qFormat/>
    <w:uiPriority w:val="0"/>
    <w:rPr>
      <w:sz w:val="18"/>
    </w:rPr>
  </w:style>
  <w:style w:type="character" w:customStyle="1" w:styleId="39">
    <w:name w:val="List Paragraph Char"/>
    <w:link w:val="40"/>
    <w:qFormat/>
    <w:uiPriority w:val="0"/>
    <w:rPr>
      <w:rFonts w:ascii="宋体" w:hAnsi="宋体" w:eastAsia="宋体"/>
    </w:rPr>
  </w:style>
  <w:style w:type="paragraph" w:customStyle="1" w:styleId="40">
    <w:name w:val="List Paragraph1"/>
    <w:basedOn w:val="1"/>
    <w:link w:val="39"/>
    <w:qFormat/>
    <w:uiPriority w:val="0"/>
    <w:pPr>
      <w:ind w:firstLine="420" w:firstLineChars="200"/>
    </w:pPr>
    <w:rPr>
      <w:rFonts w:ascii="宋体" w:hAnsi="宋体"/>
    </w:rPr>
  </w:style>
  <w:style w:type="character" w:customStyle="1" w:styleId="41">
    <w:name w:val="font01"/>
    <w:qFormat/>
    <w:uiPriority w:val="0"/>
    <w:rPr>
      <w:rFonts w:ascii="宋体" w:hAnsi="宋体" w:eastAsia="宋体"/>
      <w:color w:val="000000"/>
      <w:sz w:val="20"/>
      <w:u w:val="none"/>
    </w:rPr>
  </w:style>
  <w:style w:type="character" w:customStyle="1" w:styleId="42">
    <w:name w:val="页脚 Char1"/>
    <w:autoRedefine/>
    <w:qFormat/>
    <w:uiPriority w:val="0"/>
    <w:rPr>
      <w:sz w:val="18"/>
    </w:rPr>
  </w:style>
  <w:style w:type="character" w:customStyle="1" w:styleId="43">
    <w:name w:val="Header Char"/>
    <w:qFormat/>
    <w:uiPriority w:val="0"/>
    <w:rPr>
      <w:kern w:val="2"/>
      <w:sz w:val="18"/>
    </w:rPr>
  </w:style>
  <w:style w:type="character" w:customStyle="1" w:styleId="44">
    <w:name w:val="font11"/>
    <w:qFormat/>
    <w:uiPriority w:val="0"/>
    <w:rPr>
      <w:rFonts w:ascii="宋体" w:hAnsi="宋体" w:eastAsia="宋体"/>
      <w:color w:val="000000"/>
      <w:sz w:val="20"/>
      <w:u w:val="none"/>
    </w:rPr>
  </w:style>
  <w:style w:type="paragraph" w:customStyle="1" w:styleId="45">
    <w:name w:val="正文 New New New New New New New New New"/>
    <w:autoRedefine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46">
    <w:name w:val="页脚1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customStyle="1" w:styleId="47">
    <w:name w:val="样式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9">
    <w:name w:val="列出段落1"/>
    <w:basedOn w:val="1"/>
    <w:autoRedefine/>
    <w:qFormat/>
    <w:uiPriority w:val="0"/>
    <w:pPr>
      <w:ind w:firstLine="420" w:firstLineChars="200"/>
    </w:pPr>
    <w:rPr>
      <w:sz w:val="28"/>
      <w:szCs w:val="28"/>
    </w:rPr>
  </w:style>
  <w:style w:type="paragraph" w:customStyle="1" w:styleId="50">
    <w:name w:val="正文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">
    <w:name w:val="_Style 48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文档正文"/>
    <w:basedOn w:val="1"/>
    <w:autoRedefine/>
    <w:qFormat/>
    <w:uiPriority w:val="0"/>
    <w:pPr>
      <w:spacing w:line="240" w:lineRule="atLeast"/>
      <w:ind w:firstLine="592" w:firstLineChars="200"/>
      <w:jc w:val="center"/>
    </w:pPr>
    <w:rPr>
      <w:rFonts w:ascii="仿宋_GB2312" w:hAnsi="Arial" w:eastAsia="仿宋_GB2312"/>
      <w:bCs/>
      <w:sz w:val="32"/>
      <w:szCs w:val="21"/>
    </w:rPr>
  </w:style>
  <w:style w:type="paragraph" w:customStyle="1" w:styleId="53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4">
    <w:name w:val="正文 New New New New New New New New New New"/>
    <w:autoRedefine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55">
    <w:name w:val="正文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6">
    <w:name w:val="正文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7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18</Pages>
  <Words>10574</Words>
  <Characters>12241</Characters>
  <Lines>71</Lines>
  <Paragraphs>20</Paragraphs>
  <TotalTime>2</TotalTime>
  <ScaleCrop>false</ScaleCrop>
  <LinksUpToDate>false</LinksUpToDate>
  <CharactersWithSpaces>12974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2024-03-21T04:26:00Z</dcterms:created>
  <dc:creator>微软用户</dc:creator>
  <cp:lastModifiedBy>Administrator</cp:lastModifiedBy>
  <cp:lastPrinted>2021-06-30T09:03:00Z</cp:lastPrinted>
  <dcterms:modified xsi:type="dcterms:W3CDTF">2025-04-30T03:15:06Z</dcterms:modified>
  <dc:title>西南大学育才学院招标文件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B576D49F27ED4201ADB69563B7E0B83E_13</vt:lpwstr>
  </property>
  <property fmtid="{D5CDD505-2E9C-101B-9397-08002B2CF9AE}" pid="4" name="KSOTemplateDocerSaveRecord">
    <vt:lpwstr>eyJoZGlkIjoiNTgxYmM0Y2FiZDA0YzM4Y2Q3M2VmMmQ2YmFjY2U0MDQifQ==</vt:lpwstr>
  </property>
</Properties>
</file>